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right="0" w:firstLine="0" w:firstLineChars="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附件：</w:t>
      </w:r>
    </w:p>
    <w:p>
      <w:pPr>
        <w:ind w:left="0" w:leftChars="0" w:right="0" w:firstLine="0" w:firstLineChars="0"/>
        <w:jc w:val="center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主要钢铁企业2015年度资源能源消耗情况通报表</w:t>
      </w:r>
    </w:p>
    <w:bookmarkEnd w:id="0"/>
    <w:tbl>
      <w:tblPr>
        <w:tblW w:w="14624" w:type="dxa"/>
        <w:jc w:val="center"/>
        <w:tblInd w:w="-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607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607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主要产品产量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（万吨）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烧结工序能耗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（千克标煤/吨）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高炉工序能耗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（千克标煤/吨）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转炉工序能耗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（千克标煤/吨）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电炉工序能耗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（千克标煤/吨）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吨钢新水耗量</w:t>
            </w:r>
          </w:p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（吨/吨）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固体废弃物综合利用率（%）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07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生铁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粗钢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武钢集团昆明钢铁股份有限公司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698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701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云南曲靖钢铁集团有限公司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云南玉溪钢铁集团仙福钢铁有限公司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云南玉溪钢铁集团玉昆钢铁有限公司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云南永钢钢铁集团有限公司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4.03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-11.3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云南德胜钢铁有限公司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大理大钢钢铁有限公司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通海纳古连铸工贸有限公司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云南天高镍业有限公司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8.16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28.69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747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2.12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通报批评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2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07" w:type="dxa"/>
            <w:vAlign w:val="center"/>
          </w:tcPr>
          <w:p>
            <w:pPr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instrText xml:space="preserve"> HYPERLINK "http://www.so.com/link?url=http://yj244705.hc23.com/&amp;q=%E4%BA%91%E5%8D%97%E6%96%87%E5%B1%B1%E5%AE%8F%E7%81%BF&amp;ts=1463384063&amp;t=588eceea08411868b03013c5db69c82&amp;src=haosou" \t "https://www.so.com/_blank" </w:instrTex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云南文山宏灿冶金炉料有限公司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4409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全省合计（平均）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1262.26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1483.92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-13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4409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限额标准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3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2016-06-13T03:01:14Z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