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云南省</w:t>
      </w:r>
      <w:r>
        <w:rPr>
          <w:rFonts w:hint="eastAsia" w:ascii="黑体" w:hAnsi="黑体" w:eastAsia="黑体" w:cs="黑体"/>
          <w:sz w:val="32"/>
          <w:szCs w:val="32"/>
        </w:rPr>
        <w:t>落后产能和产能违规置换举报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信息表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130"/>
        <w:gridCol w:w="990"/>
        <w:gridCol w:w="1040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举报企业相关信息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6001" w:type="dxa"/>
            <w:gridSpan w:val="3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6001" w:type="dxa"/>
            <w:gridSpan w:val="3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行业</w:t>
            </w:r>
          </w:p>
        </w:tc>
        <w:tc>
          <w:tcPr>
            <w:tcW w:w="6001" w:type="dxa"/>
            <w:gridSpan w:val="3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举报事由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存在落后产能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能耗</w:t>
            </w:r>
          </w:p>
        </w:tc>
        <w:tc>
          <w:tcPr>
            <w:tcW w:w="5011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i/>
                <w:iCs/>
                <w:sz w:val="21"/>
                <w:szCs w:val="21"/>
              </w:rPr>
              <w:t>达不到强制性能耗限额标准要求</w:t>
            </w:r>
            <w:r>
              <w:rPr>
                <w:rFonts w:hint="eastAsia" w:eastAsia="仿宋_GB2312"/>
                <w:i/>
                <w:i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环保</w:t>
            </w:r>
          </w:p>
        </w:tc>
        <w:tc>
          <w:tcPr>
            <w:tcW w:w="5011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lang w:eastAsia="zh-CN"/>
              </w:rPr>
              <w:t>（违反环境保护法律法规）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安全</w:t>
            </w:r>
          </w:p>
        </w:tc>
        <w:tc>
          <w:tcPr>
            <w:tcW w:w="5011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lang w:eastAsia="zh-CN"/>
              </w:rPr>
              <w:t>（产品质量达不到强制性标准要求）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质量</w:t>
            </w:r>
          </w:p>
        </w:tc>
        <w:tc>
          <w:tcPr>
            <w:tcW w:w="5011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lang w:eastAsia="zh-CN"/>
              </w:rPr>
              <w:t>（达不到安全生产法律法规强制性标准要求）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0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技术</w:t>
            </w:r>
          </w:p>
        </w:tc>
        <w:tc>
          <w:tcPr>
            <w:tcW w:w="5011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i/>
                <w:iCs/>
                <w:sz w:val="21"/>
                <w:szCs w:val="21"/>
                <w:lang w:eastAsia="zh-CN"/>
              </w:rPr>
              <w:t>（《产业结构调整指导目录》中的淘汰类产能）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产能违规置换</w:t>
            </w:r>
          </w:p>
        </w:tc>
        <w:tc>
          <w:tcPr>
            <w:tcW w:w="6001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举报人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97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10FE7"/>
    <w:rsid w:val="1EFA05EE"/>
    <w:rsid w:val="2F484BC8"/>
    <w:rsid w:val="76510FE7"/>
    <w:rsid w:val="7D9E21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2018-09-25T08:34:00Z</dcterms:created>
  <dc:creator>dex</dc:creator>
  <cp:lastModifiedBy>Administrator</cp:lastModifiedBy>
  <dcterms:modified xsi:type="dcterms:W3CDTF">2018-09-30T06:42:19Z</dcterms:modified>
  <dc:title>云南省淘汰落后产能工作领导小组办公室关于公布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