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lang w:eastAsia="zh-CN"/>
        </w:rPr>
        <w:t>云南</w:t>
      </w:r>
      <w:r>
        <w:rPr>
          <w:rFonts w:ascii="黑体" w:hAnsi="黑体" w:eastAsia="黑体" w:cs="黑体"/>
          <w:b/>
          <w:bCs/>
          <w:color w:val="auto"/>
          <w:sz w:val="44"/>
          <w:szCs w:val="44"/>
          <w:highlight w:val="none"/>
        </w:rPr>
        <w:t>省</w:t>
      </w:r>
      <w:r>
        <w:rPr>
          <w:rFonts w:hint="eastAsia" w:ascii="黑体" w:hAnsi="黑体" w:eastAsia="黑体" w:cs="黑体"/>
          <w:b/>
          <w:bCs/>
          <w:color w:val="auto"/>
          <w:sz w:val="44"/>
          <w:szCs w:val="44"/>
          <w:highlight w:val="none"/>
          <w:lang w:eastAsia="zh-CN"/>
        </w:rPr>
        <w:t>工业</w:t>
      </w:r>
      <w:r>
        <w:rPr>
          <w:rFonts w:ascii="黑体" w:hAnsi="黑体" w:eastAsia="黑体" w:cs="黑体"/>
          <w:b/>
          <w:bCs/>
          <w:color w:val="auto"/>
          <w:sz w:val="44"/>
          <w:szCs w:val="44"/>
          <w:highlight w:val="none"/>
        </w:rPr>
        <w:t>项目</w:t>
      </w:r>
    </w:p>
    <w:p>
      <w:pPr>
        <w:pStyle w:val="2"/>
        <w:rPr>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b/>
          <w:bCs/>
          <w:color w:val="auto"/>
          <w:sz w:val="72"/>
          <w:szCs w:val="72"/>
          <w:highlight w:val="none"/>
          <w:lang w:eastAsia="zh-CN"/>
        </w:rPr>
      </w:pPr>
      <w:r>
        <w:rPr>
          <w:rFonts w:hint="eastAsia" w:ascii="黑体" w:hAnsi="黑体" w:eastAsia="黑体" w:cs="黑体"/>
          <w:b/>
          <w:bCs/>
          <w:color w:val="auto"/>
          <w:sz w:val="72"/>
          <w:szCs w:val="72"/>
          <w:highlight w:val="none"/>
        </w:rPr>
        <w:t>施工招标文件</w:t>
      </w:r>
      <w:r>
        <w:rPr>
          <w:rFonts w:hint="eastAsia" w:ascii="黑体" w:hAnsi="黑体" w:eastAsia="黑体" w:cs="黑体"/>
          <w:b/>
          <w:bCs/>
          <w:color w:val="auto"/>
          <w:sz w:val="72"/>
          <w:szCs w:val="72"/>
          <w:highlight w:val="none"/>
          <w:lang w:eastAsia="zh-CN"/>
        </w:rPr>
        <w:t>示范文本</w:t>
      </w:r>
    </w:p>
    <w:p>
      <w:pPr>
        <w:ind w:left="0" w:leftChars="0" w:firstLine="0" w:firstLineChars="0"/>
        <w:jc w:val="center"/>
        <w:outlineLvl w:val="9"/>
        <w:rPr>
          <w:rFonts w:hint="eastAsia" w:ascii="黑体" w:hAnsi="黑体" w:eastAsia="黑体" w:cs="黑体"/>
          <w:color w:val="auto"/>
          <w:spacing w:val="43"/>
          <w:sz w:val="44"/>
          <w:szCs w:val="44"/>
          <w:highlight w:val="none"/>
          <w:lang w:eastAsia="zh-CN"/>
        </w:rPr>
      </w:pPr>
      <w:r>
        <w:rPr>
          <w:rFonts w:hint="eastAsia" w:ascii="黑体" w:hAnsi="黑体" w:eastAsia="黑体" w:cs="黑体"/>
          <w:color w:val="auto"/>
          <w:spacing w:val="43"/>
          <w:sz w:val="44"/>
          <w:szCs w:val="44"/>
          <w:highlight w:val="none"/>
          <w:lang w:eastAsia="zh-CN"/>
        </w:rPr>
        <w:t>（</w:t>
      </w:r>
      <w:r>
        <w:rPr>
          <w:rFonts w:hint="eastAsia" w:ascii="黑体" w:hAnsi="黑体" w:eastAsia="黑体" w:cs="黑体"/>
          <w:color w:val="auto"/>
          <w:spacing w:val="43"/>
          <w:sz w:val="44"/>
          <w:szCs w:val="44"/>
          <w:highlight w:val="none"/>
          <w:lang w:val="en-US" w:eastAsia="zh-CN"/>
        </w:rPr>
        <w:t>2025年版</w:t>
      </w:r>
      <w:r>
        <w:rPr>
          <w:rFonts w:hint="eastAsia" w:ascii="黑体" w:hAnsi="黑体" w:eastAsia="黑体" w:cs="黑体"/>
          <w:color w:val="auto"/>
          <w:spacing w:val="43"/>
          <w:sz w:val="44"/>
          <w:szCs w:val="44"/>
          <w:highlight w:val="none"/>
          <w:lang w:eastAsia="zh-CN"/>
        </w:rPr>
        <w:t>）</w:t>
      </w:r>
      <w:bookmarkStart w:id="553" w:name="_GoBack"/>
      <w:bookmarkEnd w:id="553"/>
    </w:p>
    <w:p>
      <w:pPr>
        <w:spacing w:before="34"/>
        <w:ind w:left="12" w:leftChars="0" w:right="203" w:hanging="12" w:hangingChars="5"/>
        <w:jc w:val="center"/>
        <w:rPr>
          <w:rFonts w:hint="eastAsia" w:ascii="方正楷体_GBK" w:hAnsi="方正楷体_GBK" w:eastAsia="方正楷体_GBK" w:cs="方正楷体_GBK"/>
          <w:b/>
          <w:bCs/>
          <w:color w:val="auto"/>
          <w:w w:val="80"/>
          <w:sz w:val="32"/>
          <w:szCs w:val="32"/>
          <w:highlight w:val="none"/>
          <w:lang w:eastAsia="zh-CN"/>
        </w:rPr>
      </w:pPr>
      <w:r>
        <w:rPr>
          <w:rFonts w:hint="eastAsia" w:ascii="方正楷体_GBK" w:hAnsi="方正楷体_GBK" w:eastAsia="方正楷体_GBK" w:cs="方正楷体_GBK"/>
          <w:b/>
          <w:bCs/>
          <w:color w:val="auto"/>
          <w:w w:val="80"/>
          <w:sz w:val="32"/>
          <w:szCs w:val="32"/>
          <w:highlight w:val="none"/>
          <w:lang w:eastAsia="zh-CN"/>
        </w:rPr>
        <w:t>（征求意见稿）</w:t>
      </w:r>
    </w:p>
    <w:p>
      <w:pPr>
        <w:rPr>
          <w:rFonts w:hint="eastAsia" w:ascii="方正小标宋简体" w:hAnsi="方正小标宋简体" w:eastAsia="方正小标宋简体" w:cs="方正小标宋简体"/>
          <w:color w:val="auto"/>
          <w:spacing w:val="43"/>
          <w:sz w:val="44"/>
          <w:szCs w:val="44"/>
          <w:highlight w:val="none"/>
          <w:lang w:eastAsia="zh-CN"/>
        </w:rPr>
      </w:pPr>
    </w:p>
    <w:p>
      <w:pPr>
        <w:outlineLvl w:val="9"/>
        <w:rPr>
          <w:rFonts w:hint="eastAsia" w:ascii="方正小标宋简体" w:hAnsi="方正小标宋简体" w:eastAsia="方正小标宋简体" w:cs="方正小标宋简体"/>
          <w:color w:val="auto"/>
          <w:spacing w:val="43"/>
          <w:sz w:val="44"/>
          <w:szCs w:val="44"/>
          <w:highlight w:val="none"/>
          <w:lang w:eastAsia="zh-CN"/>
        </w:rPr>
      </w:pPr>
    </w:p>
    <w:p>
      <w:pPr>
        <w:rPr>
          <w:rFonts w:hint="eastAsia" w:ascii="方正小标宋简体" w:hAnsi="方正小标宋简体" w:eastAsia="方正小标宋简体" w:cs="方正小标宋简体"/>
          <w:color w:val="auto"/>
          <w:spacing w:val="43"/>
          <w:sz w:val="44"/>
          <w:szCs w:val="44"/>
          <w:highlight w:val="none"/>
          <w:lang w:eastAsia="zh-CN"/>
        </w:rPr>
      </w:pPr>
    </w:p>
    <w:p>
      <w:pPr>
        <w:jc w:val="center"/>
        <w:outlineLvl w:val="9"/>
        <w:rPr>
          <w:rFonts w:hint="eastAsia" w:ascii="方正仿宋_GBK" w:hAnsi="方正仿宋_GBK" w:eastAsia="方正仿宋_GBK" w:cs="方正仿宋_GBK"/>
          <w:b w:val="0"/>
          <w:bCs w:val="0"/>
          <w:color w:val="auto"/>
          <w:spacing w:val="43"/>
          <w:sz w:val="40"/>
          <w:szCs w:val="40"/>
          <w:highlight w:val="none"/>
          <w:lang w:eastAsia="zh-CN"/>
        </w:rPr>
      </w:pPr>
    </w:p>
    <w:p>
      <w:pPr>
        <w:jc w:val="center"/>
        <w:outlineLvl w:val="9"/>
        <w:rPr>
          <w:rFonts w:hint="eastAsia" w:ascii="方正仿宋_GBK" w:hAnsi="方正仿宋_GBK" w:eastAsia="方正仿宋_GBK" w:cs="方正仿宋_GBK"/>
          <w:b w:val="0"/>
          <w:bCs w:val="0"/>
          <w:color w:val="auto"/>
          <w:spacing w:val="43"/>
          <w:sz w:val="40"/>
          <w:szCs w:val="40"/>
          <w:highlight w:val="none"/>
          <w:lang w:eastAsia="zh-CN"/>
        </w:rPr>
      </w:pPr>
    </w:p>
    <w:p>
      <w:pPr>
        <w:pStyle w:val="2"/>
        <w:rPr>
          <w:rFonts w:hint="eastAsia" w:ascii="方正仿宋_GBK" w:hAnsi="方正仿宋_GBK" w:eastAsia="方正仿宋_GBK" w:cs="方正仿宋_GBK"/>
          <w:b w:val="0"/>
          <w:bCs w:val="0"/>
          <w:color w:val="auto"/>
          <w:spacing w:val="43"/>
          <w:sz w:val="40"/>
          <w:szCs w:val="40"/>
          <w:highlight w:val="none"/>
          <w:lang w:eastAsia="zh-CN"/>
        </w:rPr>
      </w:pPr>
    </w:p>
    <w:p>
      <w:pPr>
        <w:rPr>
          <w:rFonts w:hint="eastAsia"/>
          <w:color w:val="auto"/>
          <w:highlight w:val="none"/>
          <w:lang w:eastAsia="zh-CN"/>
        </w:rPr>
      </w:pPr>
    </w:p>
    <w:p>
      <w:pPr>
        <w:ind w:left="0" w:leftChars="0" w:firstLine="0" w:firstLineChars="0"/>
        <w:jc w:val="center"/>
        <w:outlineLvl w:val="9"/>
        <w:rPr>
          <w:rFonts w:hint="eastAsia" w:ascii="黑体" w:hAnsi="黑体" w:eastAsia="黑体" w:cs="黑体"/>
          <w:b w:val="0"/>
          <w:bCs w:val="0"/>
          <w:color w:val="auto"/>
          <w:spacing w:val="43"/>
          <w:sz w:val="44"/>
          <w:szCs w:val="44"/>
          <w:highlight w:val="none"/>
          <w:lang w:eastAsia="zh-CN"/>
        </w:rPr>
      </w:pPr>
      <w:r>
        <w:rPr>
          <w:rFonts w:hint="eastAsia" w:ascii="黑体" w:hAnsi="黑体" w:eastAsia="黑体" w:cs="黑体"/>
          <w:b w:val="0"/>
          <w:bCs w:val="0"/>
          <w:color w:val="auto"/>
          <w:spacing w:val="43"/>
          <w:sz w:val="44"/>
          <w:szCs w:val="44"/>
          <w:highlight w:val="none"/>
          <w:lang w:eastAsia="zh-CN"/>
        </w:rPr>
        <w:t>云南省工业和信息化厅</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ascii="楷体" w:hAnsi="楷体" w:eastAsia="楷体" w:cs="楷体"/>
          <w:color w:val="auto"/>
          <w:sz w:val="36"/>
          <w:szCs w:val="36"/>
          <w:highlight w:val="none"/>
        </w:rPr>
        <w:sectPr>
          <w:pgSz w:w="11910" w:h="16840"/>
          <w:pgMar w:top="1580" w:right="1680" w:bottom="280" w:left="1680" w:header="720" w:footer="720"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30"/>
          <w:szCs w:val="30"/>
          <w:highlight w:val="none"/>
        </w:rPr>
      </w:pPr>
      <w:r>
        <w:rPr>
          <w:rFonts w:ascii="黑体" w:hAnsi="黑体" w:eastAsia="黑体" w:cs="黑体"/>
          <w:color w:val="auto"/>
          <w:sz w:val="30"/>
          <w:szCs w:val="30"/>
          <w:highlight w:val="none"/>
        </w:rPr>
        <w:t>使用说明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云南省工业项目施工招标文件示范文本</w:t>
      </w:r>
      <w:r>
        <w:rPr>
          <w:rFonts w:hint="eastAsia" w:asciiTheme="minorEastAsia" w:hAnsiTheme="minorEastAsia" w:eastAsiaTheme="minorEastAsia" w:cstheme="minorEastAsia"/>
          <w:color w:val="auto"/>
          <w:sz w:val="24"/>
          <w:szCs w:val="24"/>
          <w:highlight w:val="none"/>
        </w:rPr>
        <w:t>》（以下简称“标准施工招标文件”）依据《中华人民共和国民法典》、《中华人民共和国招标投标法》、《中华人民共和国招标投标法实施条例》（国务院令第613号）、《</w:t>
      </w:r>
      <w:r>
        <w:rPr>
          <w:rFonts w:hint="eastAsia" w:asciiTheme="minorEastAsia" w:hAnsiTheme="minorEastAsia" w:eastAsiaTheme="minorEastAsia" w:cstheme="minorEastAsia"/>
          <w:color w:val="auto"/>
          <w:sz w:val="24"/>
          <w:szCs w:val="24"/>
          <w:highlight w:val="none"/>
          <w:lang w:eastAsia="zh-CN"/>
        </w:rPr>
        <w:t>云南省招标投标实施条例</w:t>
      </w:r>
      <w:r>
        <w:rPr>
          <w:rFonts w:hint="eastAsia" w:asciiTheme="minorEastAsia" w:hAnsiTheme="minorEastAsia" w:eastAsiaTheme="minorEastAsia" w:cstheme="minorEastAsia"/>
          <w:color w:val="auto"/>
          <w:sz w:val="24"/>
          <w:szCs w:val="24"/>
          <w:highlight w:val="none"/>
        </w:rPr>
        <w:t>》、《电子招标投标办法》（国家发改委令第20号）等编制。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二、《标准施工招标文件》适用于本省行政区域内，全部使用国有资金投资或国有资金投资为主的依法必须进行招标的工业项目工程施工招标，其他资金项目可参照使用。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用相同序号标示的章、节、条、款、项、目，供招标人选择使用。除以空格标示的由招标人填空的内容、选择性内容和可补充内容外，均应不加修改地直接引用。填空、选择和补充内容由招标人根据国家和本省有关规定以及招标项目具体特点和实际需要确定并用醒目的字体标记。以空格标示的，确实不需要填写具体内容时，可在空格中用“/”标示。用下划线标出的引用文件须用最新的文件替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四、《标准施工招标文件》第三章“评标办法”分别规定经评审的最低投标价法、综合评估法</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种评标方法，供招标人根据招标项目具体特点和实际需要选择适用。招标人选择适用综合评估法的，各评审因素的评审标准、分值和权重等由招标人根据有关规定和招标项目具体情况确定。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五</w:t>
      </w:r>
      <w:r>
        <w:rPr>
          <w:rFonts w:hint="eastAsia" w:asciiTheme="minorEastAsia" w:hAnsiTheme="minorEastAsia" w:eastAsiaTheme="minorEastAsia" w:cstheme="minorEastAsia"/>
          <w:color w:val="auto"/>
          <w:sz w:val="24"/>
          <w:szCs w:val="24"/>
          <w:highlight w:val="none"/>
        </w:rPr>
        <w:t>、《标准施工招标文件》第四章“合同条款及格式”中通用合同条款应全文引用，专用合同条款系对通用合同条款进行补充、细化。除通用合同条款明确专用合同条款可作出不同约定外，专用合同条款补充细化的内容不得与通用合同条款规定相抵触，不得违反法律、法规和行业规章的有关规定和平等、自愿、公平以及诚实信用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六</w:t>
      </w:r>
      <w:r>
        <w:rPr>
          <w:rFonts w:hint="eastAsia" w:asciiTheme="minorEastAsia" w:hAnsiTheme="minorEastAsia" w:eastAsiaTheme="minorEastAsia" w:cstheme="minorEastAsia"/>
          <w:color w:val="auto"/>
          <w:sz w:val="24"/>
          <w:szCs w:val="24"/>
          <w:highlight w:val="none"/>
        </w:rPr>
        <w:t>、《标准施工招标文件》第五章“工程量清单”由招标人根据工程量清单的国家标准、行业标准，以及招标项目具体特点和实际需要编制，并与“投标人须知”、“通用合同条款”、“专用合同条款”、“技术标准和要求”、“图纸”相衔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七</w:t>
      </w:r>
      <w:r>
        <w:rPr>
          <w:rFonts w:hint="eastAsia" w:asciiTheme="minorEastAsia" w:hAnsiTheme="minorEastAsia" w:eastAsiaTheme="minorEastAsia" w:cstheme="minorEastAsia"/>
          <w:color w:val="auto"/>
          <w:sz w:val="24"/>
          <w:szCs w:val="24"/>
          <w:highlight w:val="none"/>
        </w:rPr>
        <w:t>、《标准施工招标文件》第六章“图纸”由招标人根据招标项目具体特点和实际需要编制， 并与“投标人须知”、“通用合同条款”、“专用合同条款”、“技术标准和要求”相衔接。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default" w:asciiTheme="minorEastAsia" w:hAnsiTheme="minorEastAsia" w:eastAsiaTheme="minorEastAsia" w:cstheme="minorEastAsia"/>
          <w:color w:val="auto"/>
          <w:sz w:val="24"/>
          <w:szCs w:val="24"/>
          <w:highlight w:val="none"/>
          <w:lang w:val="en-US"/>
        </w:rPr>
        <w:t>八</w:t>
      </w:r>
      <w:r>
        <w:rPr>
          <w:rFonts w:hint="eastAsia" w:asciiTheme="minorEastAsia" w:hAnsiTheme="minorEastAsia" w:eastAsiaTheme="minorEastAsia" w:cstheme="minorEastAsia"/>
          <w:color w:val="auto"/>
          <w:sz w:val="24"/>
          <w:szCs w:val="24"/>
          <w:highlight w:val="none"/>
        </w:rPr>
        <w:t>、《标准施工招标文件》第七章“技术标准和要求”由招标人根据招标项目具体特点和实际需要编制。“技术标准和要求”中的各项技术标准应符合国家强制性标准，不得要求或标明某一特定的专利、商标、名称、设计、原产地或生产供应者，不得含有倾向或者排斥潜在投标人的其他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val="en-US" w:eastAsia="zh-CN"/>
        </w:rPr>
        <w:t>、《标准施工招标文件》为2025年版，自印发之日起试行，使用单位或个人对《标准施工招标文件》的修改意见和建议，可向云南省工业和信息化厅反馈。联系电话：0871-63515951。</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16"/>
          <w:szCs w:val="16"/>
          <w:highlight w:val="none"/>
        </w:rPr>
      </w:pPr>
    </w:p>
    <w:p>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w w:val="100"/>
          <w:sz w:val="28"/>
          <w:szCs w:val="28"/>
          <w:highlight w:val="none"/>
          <w:u w:val="single" w:color="000000"/>
        </w:rPr>
      </w:pPr>
    </w:p>
    <w:p>
      <w:pPr>
        <w:rPr>
          <w:rFonts w:ascii="Times New Roman" w:hAnsi="Times New Roman" w:eastAsia="Times New Roman" w:cs="Times New Roman"/>
          <w:color w:val="auto"/>
          <w:w w:val="100"/>
          <w:sz w:val="28"/>
          <w:szCs w:val="28"/>
          <w:highlight w:val="none"/>
          <w:u w:val="single" w:color="000000"/>
        </w:rPr>
      </w:pPr>
      <w:r>
        <w:rPr>
          <w:rFonts w:ascii="Times New Roman" w:hAnsi="Times New Roman" w:eastAsia="Times New Roman" w:cs="Times New Roman"/>
          <w:color w:val="auto"/>
          <w:w w:val="100"/>
          <w:sz w:val="28"/>
          <w:szCs w:val="28"/>
          <w:highlight w:val="none"/>
          <w:u w:val="single" w:color="000000"/>
        </w:rPr>
        <w:br w:type="page"/>
      </w:r>
    </w:p>
    <w:p>
      <w:pPr>
        <w:keepNext w:val="0"/>
        <w:keepLines w:val="0"/>
        <w:pageBreakBefore w:val="0"/>
        <w:widowControl w:val="0"/>
        <w:tabs>
          <w:tab w:val="left" w:pos="1735"/>
          <w:tab w:val="left" w:pos="5234"/>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Times New Roman" w:hAnsi="Times New Roman" w:eastAsia="Times New Roman" w:cs="Times New Roman"/>
          <w:color w:val="auto"/>
          <w:w w:val="100"/>
          <w:sz w:val="44"/>
          <w:szCs w:val="44"/>
          <w:highlight w:val="none"/>
          <w:u w:val="single" w:color="000000"/>
        </w:rPr>
        <w:t xml:space="preserve"> </w:t>
      </w:r>
      <w:r>
        <w:rPr>
          <w:rFonts w:ascii="Times New Roman" w:hAnsi="Times New Roman" w:eastAsia="Times New Roman" w:cs="Times New Roman"/>
          <w:color w:val="auto"/>
          <w:sz w:val="44"/>
          <w:szCs w:val="44"/>
          <w:highlight w:val="none"/>
          <w:u w:val="single" w:color="auto"/>
        </w:rPr>
        <w:tab/>
      </w:r>
      <w:r>
        <w:rPr>
          <w:rFonts w:ascii="黑体" w:hAnsi="黑体" w:eastAsia="黑体" w:cs="黑体"/>
          <w:color w:val="auto"/>
          <w:spacing w:val="-2"/>
          <w:sz w:val="44"/>
          <w:szCs w:val="44"/>
          <w:highlight w:val="none"/>
          <w:u w:val="none" w:color="auto"/>
        </w:rPr>
        <w:t>（项目名称）</w:t>
      </w:r>
      <w:r>
        <w:rPr>
          <w:rFonts w:hint="eastAsia" w:ascii="Times New Roman" w:hAnsi="Times New Roman" w:eastAsia="宋体" w:cs="Times New Roman"/>
          <w:color w:val="auto"/>
          <w:spacing w:val="-2"/>
          <w:sz w:val="44"/>
          <w:szCs w:val="44"/>
          <w:highlight w:val="none"/>
          <w:u w:val="single" w:color="auto"/>
          <w:lang w:val="en-US" w:eastAsia="zh-CN"/>
        </w:rPr>
        <w:t xml:space="preserve">          </w:t>
      </w:r>
      <w:r>
        <w:rPr>
          <w:rFonts w:hint="eastAsia" w:ascii="Times New Roman" w:hAnsi="Times New Roman" w:eastAsia="宋体" w:cs="Times New Roman"/>
          <w:color w:val="auto"/>
          <w:spacing w:val="-2"/>
          <w:sz w:val="44"/>
          <w:szCs w:val="44"/>
          <w:highlight w:val="none"/>
          <w:u w:val="none" w:color="auto"/>
          <w:lang w:val="en-US" w:eastAsia="zh-CN"/>
        </w:rPr>
        <w:t xml:space="preserve"> </w:t>
      </w:r>
      <w:r>
        <w:rPr>
          <w:rFonts w:ascii="黑体" w:hAnsi="黑体" w:eastAsia="黑体" w:cs="黑体"/>
          <w:color w:val="auto"/>
          <w:spacing w:val="-2"/>
          <w:sz w:val="44"/>
          <w:szCs w:val="44"/>
          <w:highlight w:val="none"/>
        </w:rPr>
        <w:t>标段施工招标</w:t>
      </w:r>
    </w:p>
    <w:p>
      <w:pPr>
        <w:keepNext w:val="0"/>
        <w:keepLines w:val="0"/>
        <w:pageBreakBefore w:val="0"/>
        <w:widowControl w:val="0"/>
        <w:tabs>
          <w:tab w:val="left" w:pos="3696"/>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44"/>
          <w:szCs w:val="44"/>
          <w:highlight w:val="none"/>
        </w:rPr>
      </w:pPr>
    </w:p>
    <w:p>
      <w:pPr>
        <w:keepNext w:val="0"/>
        <w:keepLines w:val="0"/>
        <w:pageBreakBefore w:val="0"/>
        <w:widowControl w:val="0"/>
        <w:tabs>
          <w:tab w:val="left" w:pos="3696"/>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pacing w:val="-2"/>
          <w:sz w:val="44"/>
          <w:szCs w:val="44"/>
          <w:highlight w:val="none"/>
        </w:rPr>
        <w:t>（招标编号：</w:t>
      </w:r>
      <w:r>
        <w:rPr>
          <w:rFonts w:ascii="Times New Roman" w:hAnsi="Times New Roman" w:eastAsia="Times New Roman" w:cs="Times New Roman"/>
          <w:color w:val="auto"/>
          <w:spacing w:val="-2"/>
          <w:sz w:val="44"/>
          <w:szCs w:val="44"/>
          <w:highlight w:val="none"/>
          <w:u w:val="single" w:color="000000"/>
        </w:rPr>
        <w:tab/>
      </w:r>
      <w:r>
        <w:rPr>
          <w:rFonts w:ascii="黑体" w:hAnsi="黑体" w:eastAsia="黑体" w:cs="黑体"/>
          <w:color w:val="auto"/>
          <w:sz w:val="44"/>
          <w:szCs w:val="4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z w:val="44"/>
          <w:szCs w:val="4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tabs>
          <w:tab w:val="left" w:pos="3838"/>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招标人：</w:t>
      </w:r>
      <w:r>
        <w:rPr>
          <w:rFonts w:ascii="Times New Roman" w:hAnsi="Times New Roman" w:eastAsia="Times New Roman" w:cs="Times New Roman"/>
          <w:color w:val="auto"/>
          <w:spacing w:val="-2"/>
          <w:sz w:val="28"/>
          <w:szCs w:val="28"/>
          <w:highlight w:val="none"/>
          <w:u w:val="single" w:color="000000"/>
        </w:rPr>
        <w:tab/>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18"/>
          <w:szCs w:val="18"/>
          <w:highlight w:val="none"/>
        </w:rPr>
      </w:pPr>
      <w:r>
        <w:rPr>
          <w:rFonts w:ascii="黑体" w:hAnsi="黑体" w:eastAsia="黑体" w:cs="黑体"/>
          <w:color w:val="auto"/>
          <w:spacing w:val="-2"/>
          <w:sz w:val="28"/>
          <w:szCs w:val="28"/>
          <w:highlight w:val="none"/>
        </w:rPr>
        <w:t>招标</w:t>
      </w:r>
      <w:r>
        <w:rPr>
          <w:rFonts w:hint="eastAsia" w:ascii="黑体" w:hAnsi="黑体" w:eastAsia="黑体" w:cs="黑体"/>
          <w:color w:val="auto"/>
          <w:spacing w:val="-2"/>
          <w:sz w:val="28"/>
          <w:szCs w:val="28"/>
          <w:highlight w:val="none"/>
          <w:lang w:eastAsia="zh-CN"/>
        </w:rPr>
        <w:t>代理</w:t>
      </w:r>
      <w:r>
        <w:rPr>
          <w:rFonts w:ascii="黑体" w:hAnsi="黑体" w:eastAsia="黑体" w:cs="黑体"/>
          <w:color w:val="auto"/>
          <w:spacing w:val="-2"/>
          <w:sz w:val="28"/>
          <w:szCs w:val="28"/>
          <w:highlight w:val="none"/>
        </w:rPr>
        <w:t>：</w:t>
      </w:r>
      <w:r>
        <w:rPr>
          <w:rFonts w:ascii="Times New Roman" w:hAnsi="Times New Roman" w:eastAsia="Times New Roman" w:cs="Times New Roman"/>
          <w:color w:val="auto"/>
          <w:spacing w:val="-2"/>
          <w:sz w:val="28"/>
          <w:szCs w:val="28"/>
          <w:highlight w:val="none"/>
          <w:u w:val="single" w:color="000000"/>
        </w:rPr>
        <w:tab/>
      </w:r>
      <w:r>
        <w:rPr>
          <w:rFonts w:hint="eastAsia" w:ascii="Times New Roman" w:hAnsi="Times New Roman" w:eastAsia="宋体" w:cs="Times New Roman"/>
          <w:color w:val="auto"/>
          <w:spacing w:val="-2"/>
          <w:sz w:val="28"/>
          <w:szCs w:val="28"/>
          <w:highlight w:val="none"/>
          <w:u w:val="single" w:color="000000"/>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18"/>
          <w:szCs w:val="18"/>
          <w:highlight w:val="none"/>
        </w:rPr>
      </w:pPr>
    </w:p>
    <w:p>
      <w:pPr>
        <w:keepNext w:val="0"/>
        <w:keepLines w:val="0"/>
        <w:pageBreakBefore w:val="0"/>
        <w:widowControl w:val="0"/>
        <w:tabs>
          <w:tab w:val="left" w:pos="2987"/>
          <w:tab w:val="left" w:pos="4108"/>
          <w:tab w:val="left" w:pos="5227"/>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sectPr>
          <w:pgSz w:w="11910" w:h="16840"/>
          <w:pgMar w:top="1440" w:right="1800" w:bottom="1440" w:left="1800" w:header="720" w:footer="720" w:gutter="0"/>
          <w:pgNumType w:fmt="decimal"/>
          <w:cols w:space="720" w:num="1"/>
        </w:sectPr>
      </w:pPr>
      <w:r>
        <w:rPr>
          <w:rFonts w:ascii="黑体" w:hAnsi="黑体" w:eastAsia="黑体" w:cs="黑体"/>
          <w:color w:val="auto"/>
          <w:spacing w:val="-1"/>
          <w:sz w:val="28"/>
          <w:szCs w:val="28"/>
          <w:highlight w:val="none"/>
        </w:rPr>
        <w:t>年</w:t>
      </w:r>
      <w:r>
        <w:rPr>
          <w:rFonts w:hint="eastAsia" w:ascii="黑体" w:hAnsi="黑体" w:eastAsia="黑体" w:cs="黑体"/>
          <w:color w:val="auto"/>
          <w:spacing w:val="-1"/>
          <w:sz w:val="28"/>
          <w:szCs w:val="28"/>
          <w:highlight w:val="none"/>
          <w:u w:val="single"/>
          <w:lang w:val="en-US" w:eastAsia="zh-CN"/>
        </w:rPr>
        <w:t xml:space="preserve">     </w:t>
      </w:r>
      <w:r>
        <w:rPr>
          <w:rFonts w:ascii="黑体" w:hAnsi="黑体" w:eastAsia="黑体" w:cs="黑体"/>
          <w:color w:val="auto"/>
          <w:spacing w:val="-3"/>
          <w:sz w:val="28"/>
          <w:szCs w:val="28"/>
          <w:highlight w:val="none"/>
        </w:rPr>
        <w:t>月</w:t>
      </w: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z w:val="28"/>
          <w:szCs w:val="28"/>
          <w:highlight w:val="none"/>
        </w:rPr>
        <w:t>日</w:t>
      </w:r>
    </w:p>
    <w:p>
      <w:pPr>
        <w:ind w:left="0" w:leftChars="0" w:firstLine="0" w:firstLineChars="0"/>
        <w:jc w:val="center"/>
        <w:outlineLvl w:val="2"/>
        <w:rPr>
          <w:rFonts w:hint="eastAsia" w:asciiTheme="majorEastAsia" w:hAnsiTheme="majorEastAsia" w:eastAsiaTheme="majorEastAsia" w:cstheme="majorEastAsia"/>
          <w:b/>
          <w:bCs/>
          <w:color w:val="auto"/>
          <w:sz w:val="44"/>
          <w:szCs w:val="44"/>
          <w:highlight w:val="none"/>
          <w:lang w:val="en-US" w:eastAsia="zh-CN"/>
        </w:rPr>
      </w:pPr>
      <w:bookmarkStart w:id="0" w:name="第一卷"/>
      <w:bookmarkEnd w:id="0"/>
      <w:bookmarkStart w:id="1" w:name="_bookmark0"/>
      <w:bookmarkEnd w:id="1"/>
      <w:bookmarkStart w:id="2" w:name="_bookmark1"/>
      <w:bookmarkEnd w:id="2"/>
      <w:bookmarkStart w:id="3" w:name="第一章招标公告（未进行资格预审）"/>
      <w:bookmarkEnd w:id="3"/>
      <w:bookmarkStart w:id="4" w:name="_Toc28965"/>
      <w:r>
        <w:rPr>
          <w:rFonts w:hint="eastAsia" w:asciiTheme="majorEastAsia" w:hAnsiTheme="majorEastAsia" w:eastAsiaTheme="majorEastAsia" w:cstheme="majorEastAsia"/>
          <w:b/>
          <w:bCs/>
          <w:color w:val="auto"/>
          <w:sz w:val="44"/>
          <w:szCs w:val="44"/>
          <w:highlight w:val="none"/>
          <w:lang w:val="en-US" w:eastAsia="zh-CN"/>
        </w:rPr>
        <w:t>目录</w:t>
      </w:r>
      <w:bookmarkEnd w:id="4"/>
    </w:p>
    <w:p>
      <w:pPr>
        <w:pStyle w:val="14"/>
        <w:tabs>
          <w:tab w:val="right" w:leader="dot" w:pos="9250"/>
        </w:tabs>
        <w:rPr>
          <w:color w:val="auto"/>
          <w:highlight w:val="none"/>
        </w:rPr>
      </w:pPr>
      <w:bookmarkStart w:id="5" w:name="_Toc31310"/>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_Toc13371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44"/>
          <w:highlight w:val="none"/>
        </w:rPr>
        <w:t>第一章</w:t>
      </w:r>
      <w:r>
        <w:rPr>
          <w:rFonts w:hint="eastAsia" w:asciiTheme="majorEastAsia" w:hAnsiTheme="majorEastAsia" w:eastAsiaTheme="majorEastAsia" w:cstheme="majorEastAsia"/>
          <w:bCs/>
          <w:color w:val="auto"/>
          <w:szCs w:val="44"/>
          <w:highlight w:val="none"/>
          <w:lang w:val="en-US" w:eastAsia="zh-CN"/>
        </w:rPr>
        <w:t xml:space="preserve">  </w:t>
      </w:r>
      <w:r>
        <w:rPr>
          <w:rFonts w:hint="eastAsia" w:asciiTheme="majorEastAsia" w:hAnsiTheme="majorEastAsia" w:eastAsiaTheme="majorEastAsia" w:cstheme="majorEastAsia"/>
          <w:bCs/>
          <w:color w:val="auto"/>
          <w:szCs w:val="44"/>
          <w:highlight w:val="none"/>
        </w:rPr>
        <w:t>招标公告</w:t>
      </w:r>
      <w:r>
        <w:rPr>
          <w:color w:val="auto"/>
          <w:highlight w:val="none"/>
        </w:rPr>
        <w:tab/>
      </w:r>
      <w:r>
        <w:rPr>
          <w:color w:val="auto"/>
          <w:highlight w:val="none"/>
        </w:rPr>
        <w:fldChar w:fldCharType="begin"/>
      </w:r>
      <w:r>
        <w:rPr>
          <w:color w:val="auto"/>
          <w:highlight w:val="none"/>
        </w:rPr>
        <w:instrText xml:space="preserve"> PAGEREF _Toc13371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pPr>
        <w:pStyle w:val="14"/>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_Toc25027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32"/>
          <w:highlight w:val="none"/>
        </w:rPr>
        <w:t>第二章</w:t>
      </w:r>
      <w:r>
        <w:rPr>
          <w:rFonts w:hint="eastAsia" w:asciiTheme="majorEastAsia" w:hAnsiTheme="majorEastAsia" w:eastAsiaTheme="majorEastAsia" w:cstheme="majorEastAsia"/>
          <w:bCs/>
          <w:color w:val="auto"/>
          <w:szCs w:val="32"/>
          <w:highlight w:val="none"/>
          <w:lang w:val="en-US" w:eastAsia="zh-CN"/>
        </w:rPr>
        <w:t xml:space="preserve">  </w:t>
      </w:r>
      <w:r>
        <w:rPr>
          <w:rFonts w:hint="eastAsia" w:asciiTheme="majorEastAsia" w:hAnsiTheme="majorEastAsia" w:eastAsiaTheme="majorEastAsia" w:cstheme="majorEastAsia"/>
          <w:bCs/>
          <w:color w:val="auto"/>
          <w:szCs w:val="32"/>
          <w:highlight w:val="none"/>
        </w:rPr>
        <w:t>投标人须知</w:t>
      </w:r>
      <w:r>
        <w:rPr>
          <w:color w:val="auto"/>
          <w:highlight w:val="none"/>
        </w:rPr>
        <w:tab/>
      </w:r>
      <w:r>
        <w:rPr>
          <w:color w:val="auto"/>
          <w:highlight w:val="none"/>
        </w:rPr>
        <w:fldChar w:fldCharType="begin"/>
      </w:r>
      <w:r>
        <w:rPr>
          <w:color w:val="auto"/>
          <w:highlight w:val="none"/>
        </w:rPr>
        <w:instrText xml:space="preserve"> PAGEREF _Toc25027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_Toc6568 </w:instrText>
      </w:r>
      <w:r>
        <w:rPr>
          <w:rFonts w:hint="eastAsia" w:ascii="宋体" w:hAnsi="宋体" w:eastAsia="宋体" w:cs="宋体"/>
          <w:color w:val="auto"/>
          <w:szCs w:val="24"/>
          <w:highlight w:val="none"/>
        </w:rPr>
        <w:fldChar w:fldCharType="separate"/>
      </w:r>
      <w:r>
        <w:rPr>
          <w:rFonts w:ascii="黑体" w:hAnsi="黑体" w:eastAsia="黑体" w:cs="黑体"/>
          <w:bCs w:val="0"/>
          <w:color w:val="auto"/>
          <w:szCs w:val="32"/>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_Toc6568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_Toc11695 </w:instrText>
      </w:r>
      <w:r>
        <w:rPr>
          <w:rFonts w:hint="eastAsia" w:ascii="宋体" w:hAnsi="宋体" w:eastAsia="宋体" w:cs="宋体"/>
          <w:color w:val="auto"/>
          <w:szCs w:val="24"/>
          <w:highlight w:val="none"/>
        </w:rPr>
        <w:fldChar w:fldCharType="separate"/>
      </w:r>
      <w:r>
        <w:rPr>
          <w:rFonts w:hint="eastAsia" w:ascii="黑体" w:hAnsi="黑体" w:eastAsia="黑体"/>
          <w:bCs/>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_Toc11695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szCs w:val="24"/>
          <w:highlight w:val="none"/>
        </w:rPr>
        <w:fldChar w:fldCharType="end"/>
      </w:r>
    </w:p>
    <w:p>
      <w:pPr>
        <w:pStyle w:val="14"/>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_Toc1764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32"/>
          <w:highlight w:val="none"/>
        </w:rPr>
        <w:t>第三章  评标办法</w:t>
      </w:r>
      <w:r>
        <w:rPr>
          <w:color w:val="auto"/>
          <w:highlight w:val="none"/>
        </w:rPr>
        <w:tab/>
      </w:r>
      <w:r>
        <w:rPr>
          <w:color w:val="auto"/>
          <w:highlight w:val="none"/>
        </w:rPr>
        <w:fldChar w:fldCharType="begin"/>
      </w:r>
      <w:r>
        <w:rPr>
          <w:color w:val="auto"/>
          <w:highlight w:val="none"/>
        </w:rPr>
        <w:instrText xml:space="preserve"> PAGEREF _Toc1764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_Toc8728 </w:instrText>
      </w:r>
      <w:r>
        <w:rPr>
          <w:rFonts w:hint="eastAsia" w:ascii="宋体" w:hAnsi="宋体" w:eastAsia="宋体" w:cs="宋体"/>
          <w:color w:val="auto"/>
          <w:szCs w:val="24"/>
          <w:highlight w:val="none"/>
        </w:rPr>
        <w:fldChar w:fldCharType="separate"/>
      </w:r>
      <w:r>
        <w:rPr>
          <w:rFonts w:ascii="宋体" w:hAnsi="宋体" w:eastAsia="宋体" w:cs="Times New Roman"/>
          <w:bCs w:val="0"/>
          <w:color w:val="auto"/>
          <w:kern w:val="0"/>
          <w:szCs w:val="20"/>
          <w:highlight w:val="none"/>
          <w:lang w:eastAsia="zh-CN"/>
        </w:rPr>
        <w:t>评标办法前附表</w:t>
      </w:r>
      <w:r>
        <w:rPr>
          <w:rFonts w:hint="eastAsia" w:ascii="宋体" w:hAnsi="宋体" w:eastAsia="宋体" w:cs="Times New Roman"/>
          <w:bCs w:val="0"/>
          <w:color w:val="auto"/>
          <w:kern w:val="0"/>
          <w:szCs w:val="20"/>
          <w:highlight w:val="none"/>
          <w:lang w:eastAsia="zh-CN"/>
        </w:rPr>
        <w:t>（</w:t>
      </w:r>
      <w:r>
        <w:rPr>
          <w:rFonts w:hint="eastAsia" w:ascii="宋体" w:hAnsi="宋体" w:eastAsia="宋体" w:cs="Times New Roman"/>
          <w:bCs w:val="0"/>
          <w:color w:val="auto"/>
          <w:kern w:val="0"/>
          <w:szCs w:val="20"/>
          <w:highlight w:val="none"/>
          <w:lang w:val="en-US" w:eastAsia="zh-CN"/>
        </w:rPr>
        <w:t>适用于综合评估法</w:t>
      </w:r>
      <w:r>
        <w:rPr>
          <w:rFonts w:hint="eastAsia" w:ascii="宋体" w:hAnsi="宋体" w:eastAsia="宋体" w:cs="Times New Roman"/>
          <w:bCs w:val="0"/>
          <w:color w:val="auto"/>
          <w:kern w:val="0"/>
          <w:szCs w:val="20"/>
          <w:highlight w:val="none"/>
          <w:lang w:eastAsia="zh-CN"/>
        </w:rPr>
        <w:t>）</w:t>
      </w:r>
      <w:r>
        <w:rPr>
          <w:color w:val="auto"/>
          <w:highlight w:val="none"/>
        </w:rPr>
        <w:tab/>
      </w:r>
      <w:r>
        <w:rPr>
          <w:color w:val="auto"/>
          <w:highlight w:val="none"/>
        </w:rPr>
        <w:fldChar w:fldCharType="begin"/>
      </w:r>
      <w:r>
        <w:rPr>
          <w:color w:val="auto"/>
          <w:highlight w:val="none"/>
        </w:rPr>
        <w:instrText xml:space="preserve"> PAGEREF _Toc8728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_Toc26613 </w:instrText>
      </w:r>
      <w:r>
        <w:rPr>
          <w:rFonts w:hint="eastAsia" w:ascii="宋体" w:hAnsi="宋体" w:eastAsia="宋体" w:cs="宋体"/>
          <w:color w:val="auto"/>
          <w:szCs w:val="24"/>
          <w:highlight w:val="none"/>
        </w:rPr>
        <w:fldChar w:fldCharType="separate"/>
      </w:r>
      <w:r>
        <w:rPr>
          <w:rFonts w:hint="eastAsia" w:ascii="宋体" w:hAnsi="宋体" w:eastAsia="宋体" w:cs="Times New Roman"/>
          <w:color w:val="auto"/>
          <w:kern w:val="0"/>
          <w:szCs w:val="20"/>
          <w:highlight w:val="none"/>
          <w:lang w:eastAsia="zh-CN"/>
        </w:rPr>
        <w:t>附件A：评标详细程序</w:t>
      </w:r>
      <w:r>
        <w:rPr>
          <w:color w:val="auto"/>
          <w:highlight w:val="none"/>
        </w:rPr>
        <w:tab/>
      </w:r>
      <w:r>
        <w:rPr>
          <w:color w:val="auto"/>
          <w:highlight w:val="none"/>
        </w:rPr>
        <w:fldChar w:fldCharType="begin"/>
      </w:r>
      <w:r>
        <w:rPr>
          <w:color w:val="auto"/>
          <w:highlight w:val="none"/>
        </w:rPr>
        <w:instrText xml:space="preserve"> PAGEREF _Toc26613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_Toc27682 </w:instrText>
      </w:r>
      <w:r>
        <w:rPr>
          <w:rFonts w:hint="eastAsia" w:ascii="宋体" w:hAnsi="宋体" w:eastAsia="宋体" w:cs="宋体"/>
          <w:color w:val="auto"/>
          <w:szCs w:val="24"/>
          <w:highlight w:val="none"/>
        </w:rPr>
        <w:fldChar w:fldCharType="separate"/>
      </w:r>
      <w:r>
        <w:rPr>
          <w:rFonts w:hint="eastAsia" w:ascii="宋体" w:hAnsi="宋体" w:eastAsia="宋体" w:cs="Times New Roman"/>
          <w:color w:val="auto"/>
          <w:kern w:val="0"/>
          <w:szCs w:val="20"/>
          <w:highlight w:val="none"/>
          <w:lang w:eastAsia="zh-CN"/>
        </w:rPr>
        <w:t>附件B：否决投标条款</w:t>
      </w:r>
      <w:r>
        <w:rPr>
          <w:color w:val="auto"/>
          <w:highlight w:val="none"/>
        </w:rPr>
        <w:tab/>
      </w:r>
      <w:r>
        <w:rPr>
          <w:color w:val="auto"/>
          <w:highlight w:val="none"/>
        </w:rPr>
        <w:fldChar w:fldCharType="begin"/>
      </w:r>
      <w:r>
        <w:rPr>
          <w:color w:val="auto"/>
          <w:highlight w:val="none"/>
        </w:rPr>
        <w:instrText xml:space="preserve"> PAGEREF _Toc27682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_Toc18879 </w:instrText>
      </w:r>
      <w:r>
        <w:rPr>
          <w:rFonts w:hint="eastAsia" w:ascii="宋体" w:hAnsi="宋体" w:eastAsia="宋体" w:cs="宋体"/>
          <w:color w:val="auto"/>
          <w:szCs w:val="24"/>
          <w:highlight w:val="none"/>
        </w:rPr>
        <w:fldChar w:fldCharType="separate"/>
      </w:r>
      <w:r>
        <w:rPr>
          <w:rFonts w:ascii="宋体" w:hAnsi="宋体" w:eastAsia="宋体" w:cs="Times New Roman"/>
          <w:bCs w:val="0"/>
          <w:color w:val="auto"/>
          <w:kern w:val="0"/>
          <w:szCs w:val="20"/>
          <w:highlight w:val="none"/>
          <w:lang w:eastAsia="zh-CN"/>
        </w:rPr>
        <w:t>评标办法前附表</w:t>
      </w:r>
      <w:r>
        <w:rPr>
          <w:rFonts w:hint="eastAsia" w:ascii="宋体" w:hAnsi="宋体" w:eastAsia="宋体" w:cs="Times New Roman"/>
          <w:bCs w:val="0"/>
          <w:color w:val="auto"/>
          <w:kern w:val="0"/>
          <w:szCs w:val="20"/>
          <w:highlight w:val="none"/>
          <w:lang w:eastAsia="zh-CN"/>
        </w:rPr>
        <w:t>（</w:t>
      </w:r>
      <w:r>
        <w:rPr>
          <w:rFonts w:hint="eastAsia" w:ascii="宋体" w:hAnsi="宋体" w:eastAsia="宋体" w:cs="Times New Roman"/>
          <w:bCs w:val="0"/>
          <w:color w:val="auto"/>
          <w:kern w:val="0"/>
          <w:szCs w:val="20"/>
          <w:highlight w:val="none"/>
          <w:lang w:val="en-US" w:eastAsia="zh-CN"/>
        </w:rPr>
        <w:t>适用于最低投标价法</w:t>
      </w:r>
      <w:r>
        <w:rPr>
          <w:rFonts w:hint="eastAsia" w:ascii="宋体" w:hAnsi="宋体" w:eastAsia="宋体" w:cs="Times New Roman"/>
          <w:bCs w:val="0"/>
          <w:color w:val="auto"/>
          <w:kern w:val="0"/>
          <w:szCs w:val="20"/>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_Toc18879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_Toc28718 </w:instrText>
      </w:r>
      <w:r>
        <w:rPr>
          <w:rFonts w:hint="eastAsia" w:ascii="宋体" w:hAnsi="宋体" w:eastAsia="宋体" w:cs="宋体"/>
          <w:color w:val="auto"/>
          <w:szCs w:val="24"/>
          <w:highlight w:val="none"/>
        </w:rPr>
        <w:fldChar w:fldCharType="separate"/>
      </w:r>
      <w:r>
        <w:rPr>
          <w:rFonts w:hint="eastAsia" w:ascii="宋体" w:hAnsi="宋体" w:eastAsia="宋体" w:cs="Times New Roman"/>
          <w:color w:val="auto"/>
          <w:kern w:val="0"/>
          <w:szCs w:val="20"/>
          <w:highlight w:val="none"/>
          <w:lang w:eastAsia="zh-CN"/>
        </w:rPr>
        <w:t>附件A：评标详细程序</w:t>
      </w:r>
      <w:r>
        <w:rPr>
          <w:color w:val="auto"/>
          <w:highlight w:val="none"/>
        </w:rPr>
        <w:tab/>
      </w:r>
      <w:r>
        <w:rPr>
          <w:color w:val="auto"/>
          <w:highlight w:val="none"/>
        </w:rPr>
        <w:fldChar w:fldCharType="begin"/>
      </w:r>
      <w:r>
        <w:rPr>
          <w:color w:val="auto"/>
          <w:highlight w:val="none"/>
        </w:rPr>
        <w:instrText xml:space="preserve"> PAGEREF _Toc28718 \h </w:instrText>
      </w:r>
      <w:r>
        <w:rPr>
          <w:color w:val="auto"/>
          <w:highlight w:val="none"/>
        </w:rPr>
        <w:fldChar w:fldCharType="separate"/>
      </w:r>
      <w:r>
        <w:rPr>
          <w:color w:val="auto"/>
          <w:highlight w:val="none"/>
        </w:rPr>
        <w:t>48</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_Toc1538 </w:instrText>
      </w:r>
      <w:r>
        <w:rPr>
          <w:rFonts w:hint="eastAsia" w:ascii="宋体" w:hAnsi="宋体" w:eastAsia="宋体" w:cs="宋体"/>
          <w:color w:val="auto"/>
          <w:szCs w:val="24"/>
          <w:highlight w:val="none"/>
        </w:rPr>
        <w:fldChar w:fldCharType="separate"/>
      </w:r>
      <w:r>
        <w:rPr>
          <w:rFonts w:hint="eastAsia" w:ascii="宋体" w:hAnsi="宋体" w:eastAsia="宋体" w:cs="Times New Roman"/>
          <w:color w:val="auto"/>
          <w:kern w:val="0"/>
          <w:szCs w:val="20"/>
          <w:highlight w:val="none"/>
          <w:lang w:eastAsia="zh-CN"/>
        </w:rPr>
        <w:t>附件B：否决投标条款</w:t>
      </w:r>
      <w:r>
        <w:rPr>
          <w:color w:val="auto"/>
          <w:highlight w:val="none"/>
        </w:rPr>
        <w:tab/>
      </w:r>
      <w:r>
        <w:rPr>
          <w:color w:val="auto"/>
          <w:highlight w:val="none"/>
        </w:rPr>
        <w:fldChar w:fldCharType="begin"/>
      </w:r>
      <w:r>
        <w:rPr>
          <w:color w:val="auto"/>
          <w:highlight w:val="none"/>
        </w:rPr>
        <w:instrText xml:space="preserve"> PAGEREF _Toc1538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szCs w:val="24"/>
          <w:highlight w:val="none"/>
        </w:rPr>
        <w:fldChar w:fldCharType="end"/>
      </w:r>
    </w:p>
    <w:p>
      <w:pPr>
        <w:pStyle w:val="14"/>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_Toc5201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44"/>
          <w:highlight w:val="none"/>
        </w:rPr>
        <w:t>第四章</w:t>
      </w:r>
      <w:r>
        <w:rPr>
          <w:rFonts w:hint="eastAsia" w:asciiTheme="majorEastAsia" w:hAnsiTheme="majorEastAsia" w:eastAsiaTheme="majorEastAsia" w:cstheme="majorEastAsia"/>
          <w:bCs/>
          <w:color w:val="auto"/>
          <w:szCs w:val="44"/>
          <w:highlight w:val="none"/>
          <w:lang w:val="en-US" w:eastAsia="zh-CN"/>
        </w:rPr>
        <w:t xml:space="preserve">  </w:t>
      </w:r>
      <w:r>
        <w:rPr>
          <w:rFonts w:hint="eastAsia" w:asciiTheme="majorEastAsia" w:hAnsiTheme="majorEastAsia" w:eastAsiaTheme="majorEastAsia" w:cstheme="majorEastAsia"/>
          <w:bCs/>
          <w:color w:val="auto"/>
          <w:szCs w:val="44"/>
          <w:highlight w:val="none"/>
        </w:rPr>
        <w:t>合同条款及格式</w:t>
      </w:r>
      <w:r>
        <w:rPr>
          <w:color w:val="auto"/>
          <w:highlight w:val="none"/>
        </w:rPr>
        <w:tab/>
      </w:r>
      <w:r>
        <w:rPr>
          <w:color w:val="auto"/>
          <w:highlight w:val="none"/>
        </w:rPr>
        <w:fldChar w:fldCharType="begin"/>
      </w:r>
      <w:r>
        <w:rPr>
          <w:color w:val="auto"/>
          <w:highlight w:val="none"/>
        </w:rPr>
        <w:instrText xml:space="preserve"> PAGEREF _Toc5201 \h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eastAsia="宋体" w:cs="宋体"/>
          <w:color w:val="auto"/>
          <w:szCs w:val="24"/>
          <w:highlight w:val="none"/>
        </w:rPr>
        <w:fldChar w:fldCharType="end"/>
      </w:r>
    </w:p>
    <w:p>
      <w:pPr>
        <w:pStyle w:val="14"/>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_Toc30828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44"/>
          <w:highlight w:val="none"/>
        </w:rPr>
        <w:t>第五章</w:t>
      </w:r>
      <w:r>
        <w:rPr>
          <w:rFonts w:hint="eastAsia" w:asciiTheme="majorEastAsia" w:hAnsiTheme="majorEastAsia" w:eastAsiaTheme="majorEastAsia" w:cstheme="majorEastAsia"/>
          <w:bCs/>
          <w:color w:val="auto"/>
          <w:szCs w:val="44"/>
          <w:highlight w:val="none"/>
          <w:lang w:val="en-US" w:eastAsia="zh-CN"/>
        </w:rPr>
        <w:t xml:space="preserve">  </w:t>
      </w:r>
      <w:r>
        <w:rPr>
          <w:rFonts w:hint="eastAsia" w:asciiTheme="majorEastAsia" w:hAnsiTheme="majorEastAsia" w:eastAsiaTheme="majorEastAsia" w:cstheme="majorEastAsia"/>
          <w:bCs/>
          <w:color w:val="auto"/>
          <w:szCs w:val="44"/>
          <w:highlight w:val="none"/>
        </w:rPr>
        <w:t>工程量清单</w:t>
      </w:r>
      <w:r>
        <w:rPr>
          <w:color w:val="auto"/>
          <w:highlight w:val="none"/>
        </w:rPr>
        <w:tab/>
      </w:r>
      <w:r>
        <w:rPr>
          <w:color w:val="auto"/>
          <w:highlight w:val="none"/>
        </w:rPr>
        <w:fldChar w:fldCharType="begin"/>
      </w:r>
      <w:r>
        <w:rPr>
          <w:color w:val="auto"/>
          <w:highlight w:val="none"/>
        </w:rPr>
        <w:instrText xml:space="preserve"> PAGEREF _Toc30828 \h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eastAsia="宋体" w:cs="宋体"/>
          <w:color w:val="auto"/>
          <w:szCs w:val="24"/>
          <w:highlight w:val="none"/>
        </w:rPr>
        <w:fldChar w:fldCharType="end"/>
      </w:r>
    </w:p>
    <w:p>
      <w:pPr>
        <w:pStyle w:val="14"/>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_Toc25519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44"/>
          <w:highlight w:val="none"/>
        </w:rPr>
        <w:t>第六章</w:t>
      </w:r>
      <w:r>
        <w:rPr>
          <w:rFonts w:hint="eastAsia" w:asciiTheme="majorEastAsia" w:hAnsiTheme="majorEastAsia" w:eastAsiaTheme="majorEastAsia" w:cstheme="majorEastAsia"/>
          <w:bCs/>
          <w:color w:val="auto"/>
          <w:szCs w:val="44"/>
          <w:highlight w:val="none"/>
          <w:lang w:val="en-US" w:eastAsia="zh-CN"/>
        </w:rPr>
        <w:t xml:space="preserve">  </w:t>
      </w:r>
      <w:r>
        <w:rPr>
          <w:rFonts w:hint="eastAsia" w:asciiTheme="majorEastAsia" w:hAnsiTheme="majorEastAsia" w:eastAsiaTheme="majorEastAsia" w:cstheme="majorEastAsia"/>
          <w:bCs/>
          <w:color w:val="auto"/>
          <w:szCs w:val="44"/>
          <w:highlight w:val="none"/>
        </w:rPr>
        <w:t>图纸</w:t>
      </w:r>
      <w:r>
        <w:rPr>
          <w:color w:val="auto"/>
          <w:highlight w:val="none"/>
        </w:rPr>
        <w:tab/>
      </w:r>
      <w:r>
        <w:rPr>
          <w:color w:val="auto"/>
          <w:highlight w:val="none"/>
        </w:rPr>
        <w:fldChar w:fldCharType="begin"/>
      </w:r>
      <w:r>
        <w:rPr>
          <w:color w:val="auto"/>
          <w:highlight w:val="none"/>
        </w:rPr>
        <w:instrText xml:space="preserve"> PAGEREF _Toc25519 \h </w:instrText>
      </w:r>
      <w:r>
        <w:rPr>
          <w:color w:val="auto"/>
          <w:highlight w:val="none"/>
        </w:rPr>
        <w:fldChar w:fldCharType="separate"/>
      </w:r>
      <w:r>
        <w:rPr>
          <w:color w:val="auto"/>
          <w:highlight w:val="none"/>
        </w:rPr>
        <w:t>71</w:t>
      </w:r>
      <w:r>
        <w:rPr>
          <w:color w:val="auto"/>
          <w:highlight w:val="none"/>
        </w:rPr>
        <w:fldChar w:fldCharType="end"/>
      </w:r>
      <w:r>
        <w:rPr>
          <w:rFonts w:hint="eastAsia" w:ascii="宋体" w:hAnsi="宋体" w:eastAsia="宋体" w:cs="宋体"/>
          <w:color w:val="auto"/>
          <w:szCs w:val="24"/>
          <w:highlight w:val="none"/>
        </w:rPr>
        <w:fldChar w:fldCharType="end"/>
      </w:r>
    </w:p>
    <w:p>
      <w:pPr>
        <w:pStyle w:val="14"/>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_Toc19740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44"/>
          <w:highlight w:val="none"/>
        </w:rPr>
        <w:t>第七章</w:t>
      </w:r>
      <w:r>
        <w:rPr>
          <w:rFonts w:hint="eastAsia" w:asciiTheme="majorEastAsia" w:hAnsiTheme="majorEastAsia" w:eastAsiaTheme="majorEastAsia" w:cstheme="majorEastAsia"/>
          <w:bCs/>
          <w:color w:val="auto"/>
          <w:szCs w:val="44"/>
          <w:highlight w:val="none"/>
          <w:lang w:val="en-US" w:eastAsia="zh-CN"/>
        </w:rPr>
        <w:t xml:space="preserve">  </w:t>
      </w:r>
      <w:r>
        <w:rPr>
          <w:rFonts w:hint="eastAsia" w:asciiTheme="majorEastAsia" w:hAnsiTheme="majorEastAsia" w:eastAsiaTheme="majorEastAsia" w:cstheme="majorEastAsia"/>
          <w:bCs/>
          <w:color w:val="auto"/>
          <w:szCs w:val="44"/>
          <w:highlight w:val="none"/>
        </w:rPr>
        <w:t>技术标准和要求</w:t>
      </w:r>
      <w:r>
        <w:rPr>
          <w:color w:val="auto"/>
          <w:highlight w:val="none"/>
        </w:rPr>
        <w:tab/>
      </w:r>
      <w:r>
        <w:rPr>
          <w:color w:val="auto"/>
          <w:highlight w:val="none"/>
        </w:rPr>
        <w:fldChar w:fldCharType="begin"/>
      </w:r>
      <w:r>
        <w:rPr>
          <w:color w:val="auto"/>
          <w:highlight w:val="none"/>
        </w:rPr>
        <w:instrText xml:space="preserve"> PAGEREF _Toc19740 \h </w:instrText>
      </w:r>
      <w:r>
        <w:rPr>
          <w:color w:val="auto"/>
          <w:highlight w:val="none"/>
        </w:rPr>
        <w:fldChar w:fldCharType="separate"/>
      </w:r>
      <w:r>
        <w:rPr>
          <w:color w:val="auto"/>
          <w:highlight w:val="none"/>
        </w:rPr>
        <w:t>72</w:t>
      </w:r>
      <w:r>
        <w:rPr>
          <w:color w:val="auto"/>
          <w:highlight w:val="none"/>
        </w:rPr>
        <w:fldChar w:fldCharType="end"/>
      </w:r>
      <w:r>
        <w:rPr>
          <w:rFonts w:hint="eastAsia" w:ascii="宋体" w:hAnsi="宋体" w:eastAsia="宋体" w:cs="宋体"/>
          <w:color w:val="auto"/>
          <w:szCs w:val="24"/>
          <w:highlight w:val="none"/>
        </w:rPr>
        <w:fldChar w:fldCharType="end"/>
      </w:r>
    </w:p>
    <w:p>
      <w:pPr>
        <w:pStyle w:val="14"/>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_Toc31080 </w:instrText>
      </w:r>
      <w:r>
        <w:rPr>
          <w:rFonts w:hint="eastAsia" w:ascii="宋体" w:hAnsi="宋体" w:eastAsia="宋体" w:cs="宋体"/>
          <w:color w:val="auto"/>
          <w:szCs w:val="24"/>
          <w:highlight w:val="none"/>
        </w:rPr>
        <w:fldChar w:fldCharType="separate"/>
      </w:r>
      <w:r>
        <w:rPr>
          <w:rFonts w:hint="eastAsia" w:asciiTheme="majorEastAsia" w:hAnsiTheme="majorEastAsia" w:eastAsiaTheme="majorEastAsia" w:cstheme="majorEastAsia"/>
          <w:bCs/>
          <w:color w:val="auto"/>
          <w:szCs w:val="44"/>
          <w:highlight w:val="none"/>
        </w:rPr>
        <w:t>第八章</w:t>
      </w:r>
      <w:r>
        <w:rPr>
          <w:rFonts w:hint="eastAsia" w:asciiTheme="majorEastAsia" w:hAnsiTheme="majorEastAsia" w:eastAsiaTheme="majorEastAsia" w:cstheme="majorEastAsia"/>
          <w:bCs/>
          <w:color w:val="auto"/>
          <w:szCs w:val="44"/>
          <w:highlight w:val="none"/>
          <w:lang w:val="en-US" w:eastAsia="zh-CN"/>
        </w:rPr>
        <w:t xml:space="preserve">  </w:t>
      </w:r>
      <w:r>
        <w:rPr>
          <w:rFonts w:hint="eastAsia" w:asciiTheme="majorEastAsia" w:hAnsiTheme="majorEastAsia" w:eastAsiaTheme="majorEastAsia" w:cstheme="majorEastAsia"/>
          <w:bCs/>
          <w:color w:val="auto"/>
          <w:szCs w:val="44"/>
          <w:highlight w:val="none"/>
        </w:rPr>
        <w:t>投标文件格式</w:t>
      </w:r>
      <w:r>
        <w:rPr>
          <w:color w:val="auto"/>
          <w:highlight w:val="none"/>
        </w:rPr>
        <w:tab/>
      </w:r>
      <w:r>
        <w:rPr>
          <w:color w:val="auto"/>
          <w:highlight w:val="none"/>
        </w:rPr>
        <w:fldChar w:fldCharType="begin"/>
      </w:r>
      <w:r>
        <w:rPr>
          <w:color w:val="auto"/>
          <w:highlight w:val="none"/>
        </w:rPr>
        <w:instrText xml:space="preserve"> PAGEREF _Toc31080 \h </w:instrText>
      </w:r>
      <w:r>
        <w:rPr>
          <w:color w:val="auto"/>
          <w:highlight w:val="none"/>
        </w:rPr>
        <w:fldChar w:fldCharType="separate"/>
      </w:r>
      <w:r>
        <w:rPr>
          <w:color w:val="auto"/>
          <w:highlight w:val="none"/>
        </w:rPr>
        <w:t>73</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_Toc15422 </w:instrText>
      </w:r>
      <w:r>
        <w:rPr>
          <w:rFonts w:hint="eastAsia" w:ascii="宋体" w:hAnsi="宋体" w:eastAsia="宋体" w:cs="宋体"/>
          <w:color w:val="auto"/>
          <w:szCs w:val="24"/>
          <w:highlight w:val="none"/>
        </w:rPr>
        <w:fldChar w:fldCharType="separate"/>
      </w:r>
      <w:r>
        <w:rPr>
          <w:rFonts w:hint="eastAsia" w:ascii="黑体" w:hAnsi="黑体" w:eastAsia="黑体" w:cs="黑体"/>
          <w:bCs w:val="0"/>
          <w:color w:val="auto"/>
          <w:szCs w:val="32"/>
          <w:highlight w:val="none"/>
        </w:rPr>
        <w:t xml:space="preserve">第一节 </w:t>
      </w:r>
      <w:r>
        <w:rPr>
          <w:rFonts w:hint="eastAsia" w:ascii="黑体" w:hAnsi="黑体" w:eastAsia="黑体" w:cs="黑体"/>
          <w:bCs w:val="0"/>
          <w:color w:val="auto"/>
          <w:szCs w:val="32"/>
          <w:highlight w:val="none"/>
          <w:lang w:val="en-US" w:eastAsia="zh-CN"/>
        </w:rPr>
        <w:t>资格投标文件</w:t>
      </w:r>
      <w:r>
        <w:rPr>
          <w:rFonts w:hint="eastAsia" w:ascii="黑体" w:hAnsi="黑体" w:eastAsia="黑体" w:cs="黑体"/>
          <w:bCs w:val="0"/>
          <w:color w:val="auto"/>
          <w:szCs w:val="32"/>
          <w:highlight w:val="none"/>
        </w:rPr>
        <w:t>格</w:t>
      </w:r>
      <w:r>
        <w:rPr>
          <w:rFonts w:hint="eastAsia" w:ascii="黑体" w:hAnsi="黑体" w:eastAsia="黑体" w:cs="黑体"/>
          <w:color w:val="auto"/>
          <w:szCs w:val="32"/>
          <w:highlight w:val="none"/>
        </w:rPr>
        <w:t>式</w:t>
      </w:r>
      <w:r>
        <w:rPr>
          <w:color w:val="auto"/>
          <w:highlight w:val="none"/>
        </w:rPr>
        <w:tab/>
      </w:r>
      <w:r>
        <w:rPr>
          <w:color w:val="auto"/>
          <w:highlight w:val="none"/>
        </w:rPr>
        <w:fldChar w:fldCharType="begin"/>
      </w:r>
      <w:r>
        <w:rPr>
          <w:color w:val="auto"/>
          <w:highlight w:val="none"/>
        </w:rPr>
        <w:instrText xml:space="preserve"> PAGEREF _Toc15422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_Toc22587 </w:instrText>
      </w:r>
      <w:r>
        <w:rPr>
          <w:rFonts w:hint="eastAsia" w:ascii="宋体" w:hAnsi="宋体" w:eastAsia="宋体" w:cs="宋体"/>
          <w:color w:val="auto"/>
          <w:szCs w:val="24"/>
          <w:highlight w:val="none"/>
        </w:rPr>
        <w:fldChar w:fldCharType="separate"/>
      </w:r>
      <w:r>
        <w:rPr>
          <w:rFonts w:hint="eastAsia" w:ascii="黑体" w:hAnsi="黑体" w:eastAsia="黑体" w:cs="黑体"/>
          <w:bCs w:val="0"/>
          <w:color w:val="auto"/>
          <w:szCs w:val="32"/>
          <w:highlight w:val="none"/>
        </w:rPr>
        <w:t>第</w:t>
      </w:r>
      <w:r>
        <w:rPr>
          <w:rFonts w:hint="eastAsia" w:ascii="黑体" w:hAnsi="黑体" w:eastAsia="黑体" w:cs="黑体"/>
          <w:bCs w:val="0"/>
          <w:color w:val="auto"/>
          <w:szCs w:val="32"/>
          <w:highlight w:val="none"/>
          <w:lang w:val="en-US" w:eastAsia="zh-CN"/>
        </w:rPr>
        <w:t>二</w:t>
      </w:r>
      <w:r>
        <w:rPr>
          <w:rFonts w:hint="eastAsia" w:ascii="黑体" w:hAnsi="黑体" w:eastAsia="黑体" w:cs="黑体"/>
          <w:bCs w:val="0"/>
          <w:color w:val="auto"/>
          <w:szCs w:val="32"/>
          <w:highlight w:val="none"/>
        </w:rPr>
        <w:t>节 商务投标文件格式</w:t>
      </w:r>
      <w:r>
        <w:rPr>
          <w:color w:val="auto"/>
          <w:highlight w:val="none"/>
        </w:rPr>
        <w:tab/>
      </w:r>
      <w:r>
        <w:rPr>
          <w:color w:val="auto"/>
          <w:highlight w:val="none"/>
        </w:rPr>
        <w:fldChar w:fldCharType="begin"/>
      </w:r>
      <w:r>
        <w:rPr>
          <w:color w:val="auto"/>
          <w:highlight w:val="none"/>
        </w:rPr>
        <w:instrText xml:space="preserve"> PAGEREF _Toc22587 \h </w:instrText>
      </w:r>
      <w:r>
        <w:rPr>
          <w:color w:val="auto"/>
          <w:highlight w:val="none"/>
        </w:rPr>
        <w:fldChar w:fldCharType="separate"/>
      </w:r>
      <w:r>
        <w:rPr>
          <w:color w:val="auto"/>
          <w:highlight w:val="none"/>
        </w:rPr>
        <w:t>89</w:t>
      </w:r>
      <w:r>
        <w:rPr>
          <w:color w:val="auto"/>
          <w:highlight w:val="none"/>
        </w:rPr>
        <w:fldChar w:fldCharType="end"/>
      </w:r>
      <w:r>
        <w:rPr>
          <w:rFonts w:hint="eastAsia" w:ascii="宋体" w:hAnsi="宋体" w:eastAsia="宋体" w:cs="宋体"/>
          <w:color w:val="auto"/>
          <w:szCs w:val="24"/>
          <w:highlight w:val="none"/>
        </w:rPr>
        <w:fldChar w:fldCharType="end"/>
      </w:r>
    </w:p>
    <w:p>
      <w:pPr>
        <w:pStyle w:val="16"/>
        <w:tabs>
          <w:tab w:val="right" w:leader="dot" w:pos="9250"/>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_Toc25528 </w:instrText>
      </w:r>
      <w:r>
        <w:rPr>
          <w:rFonts w:hint="eastAsia" w:ascii="宋体" w:hAnsi="宋体" w:eastAsia="宋体" w:cs="宋体"/>
          <w:color w:val="auto"/>
          <w:szCs w:val="24"/>
          <w:highlight w:val="none"/>
        </w:rPr>
        <w:fldChar w:fldCharType="separate"/>
      </w:r>
      <w:r>
        <w:rPr>
          <w:rFonts w:ascii="黑体" w:hAnsi="黑体" w:eastAsia="黑体" w:cs="黑体"/>
          <w:bCs w:val="0"/>
          <w:color w:val="auto"/>
          <w:szCs w:val="32"/>
          <w:highlight w:val="none"/>
        </w:rPr>
        <w:t>第</w:t>
      </w:r>
      <w:r>
        <w:rPr>
          <w:rFonts w:hint="eastAsia" w:ascii="黑体" w:hAnsi="黑体" w:eastAsia="黑体" w:cs="黑体"/>
          <w:bCs w:val="0"/>
          <w:color w:val="auto"/>
          <w:szCs w:val="32"/>
          <w:highlight w:val="none"/>
          <w:lang w:val="en-US" w:eastAsia="zh-CN"/>
        </w:rPr>
        <w:t>三</w:t>
      </w:r>
      <w:r>
        <w:rPr>
          <w:rFonts w:ascii="黑体" w:hAnsi="黑体" w:eastAsia="黑体" w:cs="黑体"/>
          <w:bCs w:val="0"/>
          <w:color w:val="auto"/>
          <w:szCs w:val="32"/>
          <w:highlight w:val="none"/>
        </w:rPr>
        <w:t>节</w:t>
      </w:r>
      <w:r>
        <w:rPr>
          <w:rFonts w:ascii="黑体" w:hAnsi="黑体" w:eastAsia="黑体" w:cs="黑体"/>
          <w:bCs w:val="0"/>
          <w:color w:val="auto"/>
          <w:spacing w:val="-8"/>
          <w:szCs w:val="32"/>
          <w:highlight w:val="none"/>
        </w:rPr>
        <w:t xml:space="preserve"> </w:t>
      </w:r>
      <w:r>
        <w:rPr>
          <w:rFonts w:ascii="黑体" w:hAnsi="黑体" w:eastAsia="黑体" w:cs="黑体"/>
          <w:bCs w:val="0"/>
          <w:color w:val="auto"/>
          <w:szCs w:val="32"/>
          <w:highlight w:val="none"/>
        </w:rPr>
        <w:t>技术投标文件格式</w:t>
      </w:r>
      <w:r>
        <w:rPr>
          <w:color w:val="auto"/>
          <w:highlight w:val="none"/>
        </w:rPr>
        <w:tab/>
      </w:r>
      <w:r>
        <w:rPr>
          <w:color w:val="auto"/>
          <w:highlight w:val="none"/>
        </w:rPr>
        <w:fldChar w:fldCharType="begin"/>
      </w:r>
      <w:r>
        <w:rPr>
          <w:color w:val="auto"/>
          <w:highlight w:val="none"/>
        </w:rPr>
        <w:instrText xml:space="preserve"> PAGEREF _Toc25528 \h </w:instrText>
      </w:r>
      <w:r>
        <w:rPr>
          <w:color w:val="auto"/>
          <w:highlight w:val="none"/>
        </w:rPr>
        <w:fldChar w:fldCharType="separate"/>
      </w:r>
      <w:r>
        <w:rPr>
          <w:color w:val="auto"/>
          <w:highlight w:val="none"/>
        </w:rPr>
        <w:t>97</w:t>
      </w:r>
      <w:r>
        <w:rPr>
          <w:color w:val="auto"/>
          <w:highlight w:val="none"/>
        </w:rPr>
        <w:fldChar w:fldCharType="end"/>
      </w:r>
      <w:r>
        <w:rPr>
          <w:rFonts w:hint="eastAsia" w:ascii="宋体" w:hAnsi="宋体" w:eastAsia="宋体" w:cs="宋体"/>
          <w:color w:val="auto"/>
          <w:szCs w:val="24"/>
          <w:highlight w:val="none"/>
        </w:rPr>
        <w:fldChar w:fldCharType="end"/>
      </w:r>
    </w:p>
    <w:p>
      <w:pPr>
        <w:spacing w:line="360" w:lineRule="auto"/>
        <w:jc w:val="left"/>
        <w:rPr>
          <w:color w:val="auto"/>
          <w:highlight w:val="none"/>
        </w:rPr>
      </w:pPr>
      <w:r>
        <w:rPr>
          <w:rFonts w:hint="eastAsia" w:ascii="宋体" w:hAnsi="宋体" w:eastAsia="宋体" w:cs="宋体"/>
          <w:color w:val="auto"/>
          <w:szCs w:val="24"/>
          <w:highlight w:val="none"/>
        </w:rPr>
        <w:fldChar w:fldCharType="end"/>
      </w:r>
    </w:p>
    <w:p>
      <w:pPr>
        <w:pStyle w:val="3"/>
        <w:ind w:left="0" w:leftChars="0" w:firstLine="0" w:firstLineChars="0"/>
        <w:jc w:val="center"/>
        <w:outlineLvl w:val="0"/>
        <w:rPr>
          <w:rFonts w:hint="eastAsia" w:asciiTheme="majorEastAsia" w:hAnsiTheme="majorEastAsia" w:eastAsiaTheme="majorEastAsia" w:cstheme="majorEastAsia"/>
          <w:b/>
          <w:bCs/>
          <w:color w:val="auto"/>
          <w:sz w:val="44"/>
          <w:szCs w:val="44"/>
          <w:highlight w:val="none"/>
        </w:rPr>
        <w:sectPr>
          <w:footerReference r:id="rId5" w:type="default"/>
          <w:pgSz w:w="11910" w:h="16840"/>
          <w:pgMar w:top="1580" w:right="1300" w:bottom="1340" w:left="1360" w:header="0" w:footer="1157" w:gutter="0"/>
          <w:pgNumType w:fmt="decimal" w:start="1"/>
          <w:cols w:space="720" w:num="1"/>
        </w:sectPr>
      </w:pPr>
    </w:p>
    <w:p>
      <w:pPr>
        <w:pStyle w:val="3"/>
        <w:ind w:left="0" w:leftChars="0" w:firstLine="0" w:firstLineChars="0"/>
        <w:jc w:val="center"/>
        <w:outlineLvl w:val="0"/>
        <w:rPr>
          <w:rFonts w:hint="eastAsia" w:asciiTheme="majorEastAsia" w:hAnsiTheme="majorEastAsia" w:eastAsiaTheme="majorEastAsia" w:cstheme="majorEastAsia"/>
          <w:b/>
          <w:bCs/>
          <w:color w:val="auto"/>
          <w:sz w:val="44"/>
          <w:szCs w:val="44"/>
          <w:highlight w:val="none"/>
        </w:rPr>
      </w:pPr>
      <w:bookmarkStart w:id="6" w:name="_Toc13371"/>
      <w:r>
        <w:rPr>
          <w:rFonts w:hint="eastAsia" w:asciiTheme="majorEastAsia" w:hAnsiTheme="majorEastAsia" w:eastAsiaTheme="majorEastAsia" w:cstheme="majorEastAsia"/>
          <w:b/>
          <w:bCs/>
          <w:color w:val="auto"/>
          <w:sz w:val="44"/>
          <w:szCs w:val="44"/>
          <w:highlight w:val="none"/>
        </w:rPr>
        <w:t>第一章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招标公告</w:t>
      </w:r>
      <w:bookmarkEnd w:id="5"/>
      <w:bookmarkEnd w:id="6"/>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ascii="华文中宋" w:hAnsi="华文中宋" w:eastAsia="华文中宋" w:cs="华文中宋"/>
          <w:color w:val="auto"/>
          <w:sz w:val="22"/>
          <w:szCs w:val="22"/>
          <w:highlight w:val="none"/>
        </w:rPr>
      </w:pPr>
    </w:p>
    <w:p>
      <w:pPr>
        <w:keepNext w:val="0"/>
        <w:keepLines w:val="0"/>
        <w:pageBreakBefore w:val="0"/>
        <w:widowControl w:val="0"/>
        <w:tabs>
          <w:tab w:val="left" w:pos="2700"/>
          <w:tab w:val="left" w:pos="5580"/>
        </w:tabs>
        <w:kinsoku/>
        <w:wordWrap/>
        <w:overflowPunct/>
        <w:topLinePunct w:val="0"/>
        <w:autoSpaceDE/>
        <w:autoSpaceDN/>
        <w:bidi w:val="0"/>
        <w:adjustRightInd w:val="0"/>
        <w:snapToGrid w:val="0"/>
        <w:spacing w:before="0" w:line="360" w:lineRule="auto"/>
        <w:ind w:left="0" w:right="0" w:firstLine="0" w:firstLineChars="0"/>
        <w:jc w:val="center"/>
        <w:textAlignment w:val="auto"/>
        <w:outlineLvl w:val="9"/>
        <w:rPr>
          <w:rFonts w:hint="eastAsia" w:asciiTheme="minorEastAsia" w:hAnsiTheme="minorEastAsia" w:eastAsiaTheme="minorEastAsia" w:cstheme="minorEastAsia"/>
          <w:color w:val="auto"/>
          <w:sz w:val="32"/>
          <w:szCs w:val="32"/>
          <w:highlight w:val="none"/>
          <w:u w:val="single" w:color="000000"/>
          <w:lang w:eastAsia="zh-CN"/>
        </w:rPr>
      </w:pPr>
      <w:r>
        <w:rPr>
          <w:rFonts w:hint="eastAsia" w:asciiTheme="minorEastAsia" w:hAnsiTheme="minorEastAsia" w:eastAsiaTheme="minorEastAsia" w:cstheme="minorEastAsia"/>
          <w:color w:val="auto"/>
          <w:sz w:val="32"/>
          <w:szCs w:val="32"/>
          <w:highlight w:val="none"/>
          <w:u w:val="single" w:color="000000"/>
          <w:lang w:eastAsia="zh-CN"/>
        </w:rPr>
        <w:t>……（项目名称）招标公告（公开招标）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182" w:line="360" w:lineRule="auto"/>
        <w:ind w:right="105"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en-US" w:bidi="ar-SA"/>
        </w:rPr>
        <w:t>1.</w:t>
      </w:r>
      <w:r>
        <w:rPr>
          <w:rFonts w:hint="eastAsia" w:asciiTheme="minorEastAsia" w:hAnsiTheme="minorEastAsia" w:eastAsiaTheme="minorEastAsia" w:cstheme="minorEastAsia"/>
          <w:b/>
          <w:bCs/>
          <w:color w:val="auto"/>
          <w:sz w:val="24"/>
          <w:szCs w:val="24"/>
          <w:highlight w:val="none"/>
        </w:rPr>
        <w:t>招标条件</w:t>
      </w:r>
    </w:p>
    <w:p>
      <w:pPr>
        <w:pStyle w:val="9"/>
        <w:keepNext w:val="0"/>
        <w:keepLines w:val="0"/>
        <w:pageBreakBefore w:val="0"/>
        <w:widowControl w:val="0"/>
        <w:tabs>
          <w:tab w:val="left" w:pos="2335"/>
          <w:tab w:val="left" w:pos="2652"/>
          <w:tab w:val="left" w:pos="3041"/>
          <w:tab w:val="left" w:pos="6175"/>
          <w:tab w:val="left" w:pos="6245"/>
          <w:tab w:val="left" w:pos="8050"/>
          <w:tab w:val="left" w:pos="8789"/>
        </w:tabs>
        <w:kinsoku/>
        <w:wordWrap/>
        <w:overflowPunct/>
        <w:topLinePunct w:val="0"/>
        <w:autoSpaceDE/>
        <w:autoSpaceDN/>
        <w:bidi w:val="0"/>
        <w:adjustRightInd/>
        <w:snapToGrid/>
        <w:spacing w:line="360" w:lineRule="auto"/>
        <w:ind w:left="0" w:right="0" w:firstLine="456"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95"/>
          <w:sz w:val="24"/>
          <w:szCs w:val="24"/>
          <w:highlight w:val="none"/>
        </w:rPr>
        <w:t>本招标项目</w:t>
      </w:r>
      <w:r>
        <w:rPr>
          <w:rFonts w:hint="eastAsia" w:asciiTheme="minorEastAsia" w:hAnsiTheme="minorEastAsia" w:eastAsiaTheme="minorEastAsia" w:cstheme="minorEastAsia"/>
          <w:color w:val="auto"/>
          <w:w w:val="95"/>
          <w:sz w:val="24"/>
          <w:szCs w:val="24"/>
          <w:highlight w:val="none"/>
          <w:u w:val="single" w:color="000000"/>
        </w:rPr>
        <w:tab/>
      </w:r>
      <w:r>
        <w:rPr>
          <w:rFonts w:hint="eastAsia" w:asciiTheme="minorEastAsia" w:hAnsiTheme="minorEastAsia" w:eastAsiaTheme="minorEastAsia" w:cstheme="minorEastAsia"/>
          <w:color w:val="auto"/>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1"/>
          <w:w w:val="95"/>
          <w:sz w:val="24"/>
          <w:szCs w:val="24"/>
          <w:highlight w:val="none"/>
        </w:rPr>
        <w:t>（项目名称）已由</w:t>
      </w:r>
      <w:r>
        <w:rPr>
          <w:rFonts w:hint="eastAsia" w:asciiTheme="minorEastAsia" w:hAnsiTheme="minorEastAsia" w:eastAsiaTheme="minorEastAsia" w:cstheme="minorEastAsia"/>
          <w:color w:val="auto"/>
          <w:spacing w:val="-1"/>
          <w:w w:val="95"/>
          <w:sz w:val="24"/>
          <w:szCs w:val="24"/>
          <w:highlight w:val="none"/>
          <w:u w:val="single" w:color="000000"/>
        </w:rPr>
        <w:tab/>
      </w:r>
      <w:r>
        <w:rPr>
          <w:rFonts w:hint="eastAsia" w:asciiTheme="minorEastAsia" w:hAnsiTheme="minorEastAsia" w:eastAsiaTheme="minorEastAsia" w:cstheme="minorEastAsia"/>
          <w:color w:val="auto"/>
          <w:spacing w:val="-1"/>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1"/>
          <w:sz w:val="24"/>
          <w:szCs w:val="24"/>
          <w:highlight w:val="none"/>
        </w:rPr>
        <w:t>（项目审批、核准或备案机关</w:t>
      </w:r>
      <w:r>
        <w:rPr>
          <w:rFonts w:hint="eastAsia" w:asciiTheme="minorEastAsia" w:hAnsiTheme="minorEastAsia" w:eastAsiaTheme="minorEastAsia" w:cstheme="minorEastAsia"/>
          <w:color w:val="auto"/>
          <w:sz w:val="24"/>
          <w:szCs w:val="24"/>
          <w:highlight w:val="none"/>
        </w:rPr>
        <w:t>名称）以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95"/>
          <w:sz w:val="24"/>
          <w:szCs w:val="24"/>
          <w:highlight w:val="none"/>
        </w:rPr>
        <w:t>（批文名称及编号）批准建设</w:t>
      </w:r>
      <w:r>
        <w:rPr>
          <w:rFonts w:hint="eastAsia" w:asciiTheme="minorEastAsia" w:hAnsiTheme="minorEastAsia" w:eastAsiaTheme="minorEastAsia" w:cstheme="minorEastAsia"/>
          <w:color w:val="auto"/>
          <w:sz w:val="24"/>
          <w:szCs w:val="24"/>
          <w:highlight w:val="none"/>
        </w:rPr>
        <w:t>，建设资</w:t>
      </w:r>
      <w:r>
        <w:rPr>
          <w:rFonts w:hint="eastAsia" w:asciiTheme="minorEastAsia" w:hAnsiTheme="minorEastAsia" w:eastAsiaTheme="minorEastAsia" w:cstheme="minorEastAsia"/>
          <w:color w:val="auto"/>
          <w:w w:val="95"/>
          <w:sz w:val="24"/>
          <w:szCs w:val="24"/>
          <w:highlight w:val="none"/>
        </w:rPr>
        <w:t>金来自</w:t>
      </w:r>
      <w:r>
        <w:rPr>
          <w:rFonts w:hint="eastAsia" w:asciiTheme="minorEastAsia" w:hAnsiTheme="minorEastAsia" w:eastAsiaTheme="minorEastAsia" w:cstheme="minorEastAsia"/>
          <w:color w:val="auto"/>
          <w:w w:val="95"/>
          <w:sz w:val="24"/>
          <w:szCs w:val="24"/>
          <w:highlight w:val="none"/>
          <w:u w:val="single" w:color="auto"/>
          <w:lang w:val="en-US" w:eastAsia="zh-CN"/>
        </w:rPr>
        <w:t xml:space="preserve">    </w:t>
      </w:r>
      <w:r>
        <w:rPr>
          <w:rFonts w:hint="eastAsia" w:asciiTheme="minorEastAsia" w:hAnsiTheme="minorEastAsia" w:eastAsiaTheme="minorEastAsia" w:cstheme="minorEastAsia"/>
          <w:color w:val="auto"/>
          <w:spacing w:val="-13"/>
          <w:w w:val="95"/>
          <w:sz w:val="24"/>
          <w:szCs w:val="24"/>
          <w:highlight w:val="none"/>
          <w:u w:val="single" w:color="000000"/>
        </w:rPr>
        <w:t>（</w:t>
      </w:r>
      <w:r>
        <w:rPr>
          <w:rFonts w:hint="eastAsia" w:asciiTheme="minorEastAsia" w:hAnsiTheme="minorEastAsia" w:eastAsiaTheme="minorEastAsia" w:cstheme="minorEastAsia"/>
          <w:color w:val="auto"/>
          <w:spacing w:val="-13"/>
          <w:w w:val="95"/>
          <w:sz w:val="24"/>
          <w:szCs w:val="24"/>
          <w:highlight w:val="none"/>
        </w:rPr>
        <w:t>资金来源），项目出资比例为</w:t>
      </w:r>
      <w:r>
        <w:rPr>
          <w:rFonts w:hint="eastAsia" w:asciiTheme="minorEastAsia" w:hAnsiTheme="minorEastAsia" w:eastAsiaTheme="minorEastAsia" w:cstheme="minorEastAsia"/>
          <w:color w:val="auto"/>
          <w:spacing w:val="-13"/>
          <w:w w:val="95"/>
          <w:sz w:val="24"/>
          <w:szCs w:val="24"/>
          <w:highlight w:val="none"/>
          <w:u w:val="single"/>
          <w:lang w:eastAsia="zh-CN"/>
        </w:rPr>
        <w:t>国有资金</w:t>
      </w:r>
      <w:r>
        <w:rPr>
          <w:rFonts w:hint="eastAsia" w:asciiTheme="minorEastAsia" w:hAnsiTheme="minorEastAsia" w:eastAsiaTheme="minorEastAsia" w:cstheme="minorEastAsia"/>
          <w:color w:val="auto"/>
          <w:spacing w:val="-13"/>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3"/>
          <w:w w:val="95"/>
          <w:sz w:val="24"/>
          <w:szCs w:val="24"/>
          <w:highlight w:val="none"/>
          <w:u w:val="single"/>
          <w:lang w:eastAsia="zh-CN"/>
        </w:rPr>
        <w:t>%、自筹</w:t>
      </w:r>
      <w:r>
        <w:rPr>
          <w:rFonts w:hint="eastAsia" w:asciiTheme="minorEastAsia" w:hAnsiTheme="minorEastAsia" w:eastAsiaTheme="minorEastAsia" w:cstheme="minorEastAsia"/>
          <w:color w:val="auto"/>
          <w:spacing w:val="-13"/>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3"/>
          <w:w w:val="95"/>
          <w:sz w:val="24"/>
          <w:szCs w:val="24"/>
          <w:highlight w:val="none"/>
          <w:u w:val="single"/>
          <w:lang w:eastAsia="zh-CN"/>
        </w:rPr>
        <w:t xml:space="preserve">  </w:t>
      </w:r>
      <w:r>
        <w:rPr>
          <w:rFonts w:hint="eastAsia" w:asciiTheme="minorEastAsia" w:hAnsiTheme="minorEastAsia" w:eastAsiaTheme="minorEastAsia" w:cstheme="minorEastAsia"/>
          <w:color w:val="auto"/>
          <w:spacing w:val="-13"/>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3"/>
          <w:w w:val="95"/>
          <w:sz w:val="24"/>
          <w:szCs w:val="24"/>
          <w:highlight w:val="none"/>
          <w:u w:val="single"/>
          <w:lang w:eastAsia="zh-CN"/>
        </w:rPr>
        <w:t xml:space="preserve">%、贷款  </w:t>
      </w:r>
      <w:r>
        <w:rPr>
          <w:rFonts w:hint="eastAsia" w:asciiTheme="minorEastAsia" w:hAnsiTheme="minorEastAsia" w:eastAsiaTheme="minorEastAsia" w:cstheme="minorEastAsia"/>
          <w:color w:val="auto"/>
          <w:spacing w:val="-13"/>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3"/>
          <w:w w:val="95"/>
          <w:sz w:val="24"/>
          <w:szCs w:val="24"/>
          <w:highlight w:val="none"/>
          <w:u w:val="single"/>
          <w:lang w:eastAsia="zh-CN"/>
        </w:rPr>
        <w:t>%</w:t>
      </w:r>
      <w:r>
        <w:rPr>
          <w:rFonts w:hint="eastAsia" w:asciiTheme="minorEastAsia" w:hAnsiTheme="minorEastAsia" w:eastAsiaTheme="minorEastAsia" w:cstheme="minorEastAsia"/>
          <w:color w:val="auto"/>
          <w:spacing w:val="-13"/>
          <w:w w:val="95"/>
          <w:sz w:val="24"/>
          <w:szCs w:val="24"/>
          <w:highlight w:val="none"/>
          <w:u w:val="single"/>
          <w:lang w:val="en-US" w:eastAsia="zh-CN"/>
        </w:rPr>
        <w:t>、</w:t>
      </w:r>
      <w:r>
        <w:rPr>
          <w:rFonts w:hint="eastAsia" w:asciiTheme="minorEastAsia" w:hAnsiTheme="minorEastAsia" w:eastAsiaTheme="minorEastAsia" w:cstheme="minorEastAsia"/>
          <w:color w:val="auto"/>
          <w:spacing w:val="-13"/>
          <w:w w:val="95"/>
          <w:sz w:val="24"/>
          <w:szCs w:val="24"/>
          <w:highlight w:val="none"/>
          <w:u w:val="single"/>
          <w:lang w:eastAsia="zh-CN"/>
        </w:rPr>
        <w:t xml:space="preserve">外资 </w:t>
      </w:r>
      <w:r>
        <w:rPr>
          <w:rFonts w:hint="eastAsia" w:asciiTheme="minorEastAsia" w:hAnsiTheme="minorEastAsia" w:eastAsiaTheme="minorEastAsia" w:cstheme="minorEastAsia"/>
          <w:color w:val="auto"/>
          <w:spacing w:val="-13"/>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3"/>
          <w:w w:val="95"/>
          <w:sz w:val="24"/>
          <w:szCs w:val="24"/>
          <w:highlight w:val="none"/>
          <w:u w:val="single"/>
          <w:lang w:eastAsia="zh-CN"/>
        </w:rPr>
        <w:t>%</w:t>
      </w:r>
      <w:r>
        <w:rPr>
          <w:rFonts w:hint="eastAsia" w:asciiTheme="minorEastAsia" w:hAnsiTheme="minorEastAsia" w:eastAsiaTheme="minorEastAsia" w:cstheme="minorEastAsia"/>
          <w:color w:val="auto"/>
          <w:spacing w:val="-16"/>
          <w:w w:val="95"/>
          <w:sz w:val="24"/>
          <w:szCs w:val="24"/>
          <w:highlight w:val="none"/>
        </w:rPr>
        <w:t>，招标人为</w:t>
      </w:r>
      <w:r>
        <w:rPr>
          <w:rFonts w:hint="eastAsia" w:asciiTheme="minorEastAsia" w:hAnsiTheme="minorEastAsia" w:eastAsiaTheme="minorEastAsia" w:cstheme="minorEastAsia"/>
          <w:color w:val="auto"/>
          <w:spacing w:val="-16"/>
          <w:w w:val="95"/>
          <w:sz w:val="24"/>
          <w:szCs w:val="24"/>
          <w:highlight w:val="none"/>
          <w:u w:val="single" w:color="000000"/>
        </w:rPr>
        <w:tab/>
      </w:r>
      <w:r>
        <w:rPr>
          <w:rFonts w:hint="eastAsia" w:asciiTheme="minorEastAsia" w:hAnsiTheme="minorEastAsia" w:eastAsiaTheme="minorEastAsia" w:cstheme="minorEastAsia"/>
          <w:color w:val="auto"/>
          <w:sz w:val="24"/>
          <w:szCs w:val="24"/>
          <w:highlight w:val="none"/>
          <w:lang w:eastAsia="zh-CN"/>
        </w:rPr>
        <w:t>，</w:t>
      </w:r>
      <w:r>
        <w:rPr>
          <w:rFonts w:hint="eastAsia" w:cs="宋体"/>
          <w:color w:val="auto"/>
          <w:sz w:val="24"/>
          <w:szCs w:val="24"/>
          <w:highlight w:val="none"/>
          <w:lang w:eastAsia="zh-CN"/>
        </w:rPr>
        <w:t>委托的招标代理机构为</w:t>
      </w:r>
      <w:r>
        <w:rPr>
          <w:rFonts w:hint="eastAsia" w:ascii="宋体" w:hAnsi="宋体" w:eastAsia="宋体" w:cs="宋体"/>
          <w:color w:val="auto"/>
          <w:w w:val="95"/>
          <w:sz w:val="24"/>
          <w:szCs w:val="24"/>
          <w:highlight w:val="none"/>
          <w:u w:val="single" w:color="000000"/>
        </w:rPr>
        <w:tab/>
      </w:r>
      <w:r>
        <w:rPr>
          <w:rFonts w:hint="eastAsia" w:cs="宋体"/>
          <w:color w:val="auto"/>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rPr>
        <w:t>项目已具备招标条件，现对该项目的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（招标内容）</w:t>
      </w:r>
      <w:r>
        <w:rPr>
          <w:rFonts w:hint="eastAsia" w:asciiTheme="minorEastAsia" w:hAnsiTheme="minorEastAsia" w:eastAsiaTheme="minorEastAsia" w:cstheme="minorEastAsia"/>
          <w:color w:val="auto"/>
          <w:sz w:val="24"/>
          <w:szCs w:val="24"/>
          <w:highlight w:val="none"/>
        </w:rPr>
        <w:t>进行公开招标。</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7" w:name="2. 项目概况与招标范围"/>
      <w:bookmarkEnd w:id="7"/>
      <w:bookmarkStart w:id="8" w:name="_bookmark3"/>
      <w:bookmarkEnd w:id="8"/>
      <w:r>
        <w:rPr>
          <w:rFonts w:hint="eastAsia" w:asciiTheme="minorEastAsia" w:hAnsiTheme="minorEastAsia" w:eastAsiaTheme="minorEastAsia" w:cstheme="minorEastAsia"/>
          <w:b/>
          <w:bCs/>
          <w:color w:val="auto"/>
          <w:sz w:val="24"/>
          <w:szCs w:val="24"/>
          <w:highlight w:val="none"/>
          <w:lang w:val="en-US" w:eastAsia="en-US" w:bidi="ar-SA"/>
        </w:rPr>
        <w:t>2.</w:t>
      </w:r>
      <w:r>
        <w:rPr>
          <w:rFonts w:hint="eastAsia" w:asciiTheme="minorEastAsia" w:hAnsiTheme="minorEastAsia" w:eastAsiaTheme="minorEastAsia" w:cstheme="minorEastAsia"/>
          <w:b/>
          <w:bCs/>
          <w:color w:val="auto"/>
          <w:sz w:val="24"/>
          <w:szCs w:val="24"/>
          <w:highlight w:val="none"/>
        </w:rPr>
        <w:t>项目概况与招标范围</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2.1建设地点：</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2.2本次招标项目合同估算金额：</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2.3建设内容：</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2.4计划工期：</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2.5质量要求：</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2.6招标范围：</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2.7标段划分</w:t>
      </w:r>
      <w:bookmarkStart w:id="9" w:name="_bookmark4"/>
      <w:bookmarkEnd w:id="9"/>
      <w:bookmarkStart w:id="10" w:name="3. 投标人资格要求"/>
      <w:bookmarkEnd w:id="10"/>
      <w:r>
        <w:rPr>
          <w:rFonts w:hint="eastAsia" w:asciiTheme="minorEastAsia" w:hAnsiTheme="minorEastAsia" w:eastAsiaTheme="minorEastAsia" w:cstheme="minorEastAsia"/>
          <w:color w:val="auto"/>
          <w:kern w:val="2"/>
          <w:sz w:val="24"/>
          <w:szCs w:val="24"/>
          <w:highlight w:val="none"/>
          <w:lang w:val="en-US" w:eastAsia="zh-CN" w:bidi="ar-SA"/>
        </w:rPr>
        <w:t>：</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2.8其他……</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投标人资格要求</w:t>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 拟参与本次招标的投标人应具备的资质条件、人员、设备、资金和信誉等要求：</w:t>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（1）资质条件：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（2）财务要求： </w:t>
      </w:r>
      <w:r>
        <w:rPr>
          <w:rFonts w:hint="eastAsia" w:asciiTheme="minorEastAsia" w:hAnsiTheme="minorEastAsia" w:eastAsiaTheme="minorEastAsia" w:cstheme="minorEastAsia"/>
          <w:color w:val="auto"/>
          <w:kern w:val="2"/>
          <w:sz w:val="24"/>
          <w:szCs w:val="24"/>
          <w:highlight w:val="none"/>
          <w:lang w:val="en-US" w:eastAsia="zh-CN" w:bidi="ar-SA"/>
        </w:rPr>
        <w:tab/>
      </w: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（3）信誉要求：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（4）项目负责人：（建造师，下同）资格： </w:t>
      </w:r>
      <w:r>
        <w:rPr>
          <w:rFonts w:hint="eastAsia" w:asciiTheme="minorEastAsia" w:hAnsiTheme="minorEastAsia" w:eastAsiaTheme="minorEastAsia" w:cstheme="minorEastAsia"/>
          <w:color w:val="auto"/>
          <w:kern w:val="2"/>
          <w:sz w:val="24"/>
          <w:szCs w:val="24"/>
          <w:highlight w:val="none"/>
          <w:lang w:val="en-US" w:eastAsia="zh-CN" w:bidi="ar-SA"/>
        </w:rPr>
        <w:tab/>
      </w: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（5）本次招标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（接受或不接受）联合体投标。联合体投标的，应满足下列要求：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（6）其他要求：</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4.招标文件的获取</w:t>
      </w:r>
    </w:p>
    <w:p>
      <w:pPr>
        <w:adjustRightInd w:val="0"/>
        <w:snapToGrid w:val="0"/>
        <w:spacing w:after="0" w:line="360" w:lineRule="auto"/>
        <w:ind w:left="240" w:leftChars="75" w:firstLine="240" w:firstLineChars="100"/>
        <w:jc w:val="both"/>
        <w:rPr>
          <w:rFonts w:hint="eastAsia" w:asciiTheme="minorEastAsia" w:hAnsiTheme="minorEastAsia" w:eastAsiaTheme="minorEastAsia" w:cstheme="minorEastAsia"/>
          <w:color w:val="auto"/>
          <w:kern w:val="0"/>
          <w:sz w:val="24"/>
          <w:szCs w:val="24"/>
          <w:highlight w:val="none"/>
          <w:lang w:val="en-US" w:eastAsia="zh-CN"/>
        </w:rPr>
      </w:pPr>
      <w:bookmarkStart w:id="11" w:name="5. 投标文件的递交"/>
      <w:bookmarkEnd w:id="11"/>
      <w:bookmarkStart w:id="12" w:name="_bookmark6"/>
      <w:bookmarkEnd w:id="12"/>
      <w:r>
        <w:rPr>
          <w:rFonts w:hint="eastAsia" w:asciiTheme="minorEastAsia" w:hAnsiTheme="minorEastAsia" w:eastAsiaTheme="minorEastAsia" w:cstheme="minorEastAsia"/>
          <w:color w:val="auto"/>
          <w:kern w:val="0"/>
          <w:sz w:val="24"/>
          <w:szCs w:val="24"/>
          <w:highlight w:val="none"/>
          <w:lang w:val="en-US" w:eastAsia="zh-CN" w:bidi="ar-SA"/>
        </w:rPr>
        <w:t xml:space="preserve">4.1 </w:t>
      </w:r>
      <w:r>
        <w:rPr>
          <w:rFonts w:hint="eastAsia" w:asciiTheme="minorEastAsia" w:hAnsiTheme="minorEastAsia" w:eastAsiaTheme="minorEastAsia" w:cstheme="minorEastAsia"/>
          <w:color w:val="auto"/>
          <w:kern w:val="0"/>
          <w:sz w:val="24"/>
          <w:szCs w:val="24"/>
          <w:highlight w:val="none"/>
          <w:lang w:val="en-US" w:eastAsia="en-US" w:bidi="ar-SA"/>
        </w:rPr>
        <w:t>招标文件获取时间：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时00分至</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w:t>
      </w:r>
    </w:p>
    <w:p>
      <w:pPr>
        <w:pStyle w:val="9"/>
        <w:keepNext w:val="0"/>
        <w:keepLines w:val="0"/>
        <w:pageBreakBefore w:val="0"/>
        <w:widowControl w:val="0"/>
        <w:tabs>
          <w:tab w:val="left" w:pos="4097"/>
          <w:tab w:val="left" w:pos="4594"/>
          <w:tab w:val="left" w:pos="5748"/>
          <w:tab w:val="left" w:pos="6903"/>
          <w:tab w:val="left" w:pos="8059"/>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 xml:space="preserve">4.2 </w:t>
      </w:r>
      <w:r>
        <w:rPr>
          <w:rFonts w:hint="eastAsia" w:asciiTheme="minorEastAsia" w:hAnsiTheme="minorEastAsia" w:eastAsiaTheme="minorEastAsia" w:cstheme="minorEastAsia"/>
          <w:color w:val="auto"/>
          <w:kern w:val="0"/>
          <w:sz w:val="24"/>
          <w:szCs w:val="24"/>
          <w:highlight w:val="none"/>
        </w:rPr>
        <w:t>凡有意参加投标者（以网上公告时间为准），登录</w:t>
      </w:r>
      <w:r>
        <w:rPr>
          <w:rFonts w:hint="eastAsia" w:asciiTheme="minorEastAsia" w:hAnsiTheme="minorEastAsia" w:eastAsiaTheme="minorEastAsia" w:cstheme="minorEastAsia"/>
          <w:color w:val="auto"/>
          <w:kern w:val="0"/>
          <w:sz w:val="24"/>
          <w:szCs w:val="24"/>
          <w:highlight w:val="none"/>
          <w:lang w:eastAsia="zh-CN"/>
        </w:rPr>
        <w:t>云南省公共资源交易信息网</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fldChar w:fldCharType="begin"/>
      </w:r>
      <w:r>
        <w:rPr>
          <w:rFonts w:hint="eastAsia" w:asciiTheme="minorEastAsia" w:hAnsiTheme="minorEastAsia" w:eastAsiaTheme="minorEastAsia" w:cstheme="minorEastAsia"/>
          <w:color w:val="auto"/>
          <w:kern w:val="0"/>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kern w:val="0"/>
          <w:sz w:val="24"/>
          <w:szCs w:val="24"/>
          <w:highlight w:val="none"/>
          <w:u w:val="single"/>
        </w:rPr>
        <w:fldChar w:fldCharType="separate"/>
      </w:r>
      <w:r>
        <w:rPr>
          <w:rStyle w:val="21"/>
          <w:rFonts w:hint="eastAsia" w:asciiTheme="minorEastAsia" w:hAnsiTheme="minorEastAsia" w:eastAsiaTheme="minorEastAsia" w:cstheme="minorEastAsia"/>
          <w:color w:val="auto"/>
          <w:kern w:val="0"/>
          <w:sz w:val="24"/>
          <w:szCs w:val="24"/>
          <w:highlight w:val="none"/>
        </w:rPr>
        <w:t>http://ggzy.yn.gov.cn/#/homePage</w:t>
      </w:r>
      <w:r>
        <w:rPr>
          <w:rFonts w:hint="eastAsia" w:asciiTheme="minorEastAsia" w:hAnsiTheme="minorEastAsia" w:eastAsiaTheme="minorEastAsia" w:cstheme="minorEastAsia"/>
          <w:color w:val="auto"/>
          <w:kern w:val="0"/>
          <w:sz w:val="24"/>
          <w:szCs w:val="24"/>
          <w:highlight w:val="none"/>
          <w:u w:val="single"/>
        </w:rPr>
        <w:fldChar w:fldCharType="end"/>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rPr>
        <w:t>，凭企业数字证书（CA）在网上获取招标文件及其它招标资料。其它招标资料（含招标电子技术标文件，格式为*.</w:t>
      </w:r>
      <w:r>
        <w:rPr>
          <w:rFonts w:hint="eastAsia" w:asciiTheme="minorEastAsia" w:hAnsiTheme="minorEastAsia" w:eastAsiaTheme="minorEastAsia" w:cstheme="minorEastAsia"/>
          <w:color w:val="auto"/>
          <w:kern w:val="0"/>
          <w:sz w:val="24"/>
          <w:szCs w:val="24"/>
          <w:highlight w:val="none"/>
          <w:lang w:val="en-US" w:eastAsia="zh-CN"/>
        </w:rPr>
        <w:t>XXX</w:t>
      </w:r>
      <w:r>
        <w:rPr>
          <w:rFonts w:hint="eastAsia" w:asciiTheme="minorEastAsia" w:hAnsiTheme="minorEastAsia" w:eastAsiaTheme="minorEastAsia" w:cstheme="minorEastAsia"/>
          <w:color w:val="auto"/>
          <w:kern w:val="0"/>
          <w:sz w:val="24"/>
          <w:szCs w:val="24"/>
          <w:highlight w:val="none"/>
        </w:rPr>
        <w:t>；招标电子商务标文件，格式为*.</w:t>
      </w:r>
      <w:r>
        <w:rPr>
          <w:rFonts w:hint="eastAsia" w:asciiTheme="minorEastAsia" w:hAnsiTheme="minorEastAsia" w:eastAsiaTheme="minorEastAsia" w:cstheme="minorEastAsia"/>
          <w:color w:val="auto"/>
          <w:kern w:val="0"/>
          <w:sz w:val="24"/>
          <w:szCs w:val="24"/>
          <w:highlight w:val="none"/>
          <w:lang w:val="en-US" w:eastAsia="zh-CN"/>
        </w:rPr>
        <w:t>XXX</w:t>
      </w:r>
      <w:r>
        <w:rPr>
          <w:rFonts w:hint="eastAsia" w:asciiTheme="minorEastAsia" w:hAnsiTheme="minorEastAsia" w:eastAsiaTheme="minorEastAsia" w:cstheme="minorEastAsia"/>
          <w:color w:val="auto"/>
          <w:kern w:val="0"/>
          <w:sz w:val="24"/>
          <w:szCs w:val="24"/>
          <w:highlight w:val="none"/>
        </w:rPr>
        <w:t>、图纸（电子版））。未办理企业数字证书（CA）的企业需要按照云南省公共资源交易电子认证的要求，办理企业数字证书（CA），并在</w:t>
      </w: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AUTOTEXT  input423 \* MERGEFORMAT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云南省公共资源交易信息网</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完成注册通过后，便可获取招标文件，此为获取招标文件的唯一途径。</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input492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技术操作咨询：北京筑龙信息技术有限责任公司；服务热线：010-86483801</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u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4</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3其他要求：</w:t>
      </w:r>
      <w:r>
        <w:rPr>
          <w:rFonts w:hint="eastAsia" w:asciiTheme="minorEastAsia" w:hAnsiTheme="minorEastAsia" w:eastAsiaTheme="minorEastAsia" w:cstheme="minorEastAsia"/>
          <w:color w:val="auto"/>
          <w:kern w:val="0"/>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5.投标文件的递交</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bookmarkStart w:id="13" w:name="6.开标时间及地点"/>
      <w:bookmarkEnd w:id="13"/>
      <w:bookmarkStart w:id="14" w:name="_bookmark7"/>
      <w:bookmarkEnd w:id="14"/>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投标文件上传的截止时间（投标截止时间，下同）以网上公告时间为准。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 xml:space="preserve"> 递交方式</w:t>
      </w:r>
      <w:r>
        <w:rPr>
          <w:rFonts w:hint="eastAsia" w:asciiTheme="minorEastAsia" w:hAnsiTheme="minorEastAsia" w:eastAsiaTheme="minorEastAsia" w:cstheme="minorEastAsia"/>
          <w:color w:val="auto"/>
          <w:kern w:val="0"/>
          <w:sz w:val="24"/>
          <w:szCs w:val="24"/>
          <w:highlight w:val="none"/>
        </w:rPr>
        <w:t>：网上上传网址为</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1"/>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r>
        <w:rPr>
          <w:rFonts w:hint="eastAsia" w:asciiTheme="minorEastAsia" w:hAnsiTheme="minorEastAsia" w:eastAsiaTheme="minorEastAsia" w:cstheme="minorEastAsia"/>
          <w:color w:val="auto"/>
          <w:kern w:val="0"/>
          <w:sz w:val="24"/>
          <w:szCs w:val="24"/>
          <w:highlight w:val="none"/>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5.3其他要求：</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6.开标时间及地点</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6.1开标时间：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时</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分（北京时间）</w:t>
      </w:r>
    </w:p>
    <w:p>
      <w:pPr>
        <w:bidi w:val="0"/>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6.2开标地点：</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（公共资源交易中心）</w:t>
      </w:r>
    </w:p>
    <w:p>
      <w:pPr>
        <w:bidi w:val="0"/>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6.3开标方式：网上智能开标。</w:t>
      </w:r>
    </w:p>
    <w:p>
      <w:pPr>
        <w:bidi w:val="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u w:val="none"/>
          <w:lang w:val="en-US" w:eastAsia="zh-CN"/>
        </w:rPr>
        <w:t>6.4开标网址：</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1"/>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p>
    <w:p>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）线上</w:t>
      </w:r>
      <w:r>
        <w:rPr>
          <w:rFonts w:hint="eastAsia" w:asciiTheme="minorEastAsia" w:hAnsiTheme="minorEastAsia" w:eastAsiaTheme="minorEastAsia" w:cstheme="minorEastAsia"/>
          <w:color w:val="auto"/>
          <w:sz w:val="24"/>
          <w:szCs w:val="24"/>
          <w:highlight w:val="none"/>
        </w:rPr>
        <w:t>智能开标的操作流程详见《云南省公共资源交易电子化平台智能开标系统操作手册》。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投标人提前熟悉智能开标的相关操作。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AUTOTEXT  input493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投标人无需到现场参加开标会议。</w:t>
      </w:r>
      <w:r>
        <w:rPr>
          <w:rFonts w:hint="eastAsia" w:asciiTheme="minorEastAsia" w:hAnsiTheme="minorEastAsia" w:eastAsiaTheme="minorEastAsia" w:cstheme="minorEastAsia"/>
          <w:color w:val="auto"/>
          <w:sz w:val="24"/>
          <w:szCs w:val="24"/>
          <w:highlight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bidi="ar-SA"/>
        </w:rPr>
        <w:t>7</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评标办法</w:t>
      </w:r>
    </w:p>
    <w:p>
      <w:pPr>
        <w:pStyle w:val="9"/>
        <w:keepNext w:val="0"/>
        <w:keepLines w:val="0"/>
        <w:pageBreakBefore w:val="0"/>
        <w:widowControl w:val="0"/>
        <w:numPr>
          <w:ilvl w:val="0"/>
          <w:numId w:val="0"/>
        </w:numPr>
        <w:tabs>
          <w:tab w:val="left" w:pos="1368"/>
        </w:tabs>
        <w:kinsoku/>
        <w:wordWrap/>
        <w:overflowPunct/>
        <w:topLinePunct w:val="0"/>
        <w:autoSpaceDE/>
        <w:autoSpaceDN/>
        <w:bidi w:val="0"/>
        <w:adjustRightInd/>
        <w:snapToGrid/>
        <w:spacing w:line="360" w:lineRule="auto"/>
        <w:ind w:leftChars="200" w:right="0" w:rightChars="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本项目评标办法采用</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 xml:space="preserve"> （请在本标准文件提供的评标办法中选择一种）。</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bookmarkStart w:id="15" w:name="_bookmark9"/>
      <w:bookmarkEnd w:id="15"/>
      <w:bookmarkStart w:id="16" w:name="8. 发布公告的媒介"/>
      <w:bookmarkEnd w:id="16"/>
      <w:r>
        <w:rPr>
          <w:rFonts w:hint="eastAsia" w:asciiTheme="minorEastAsia" w:hAnsiTheme="minorEastAsia" w:eastAsiaTheme="minorEastAsia" w:cstheme="minorEastAsia"/>
          <w:b/>
          <w:bCs/>
          <w:color w:val="auto"/>
          <w:sz w:val="24"/>
          <w:szCs w:val="24"/>
          <w:highlight w:val="none"/>
          <w:lang w:val="en-US" w:eastAsia="zh-CN" w:bidi="ar-SA"/>
        </w:rPr>
        <w:t>8</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发布公告的媒介</w:t>
      </w:r>
    </w:p>
    <w:p>
      <w:pPr>
        <w:pStyle w:val="9"/>
        <w:keepNext w:val="0"/>
        <w:keepLines w:val="0"/>
        <w:pageBreakBefore w:val="0"/>
        <w:widowControl w:val="0"/>
        <w:tabs>
          <w:tab w:val="left" w:pos="3888"/>
        </w:tabs>
        <w:kinsoku/>
        <w:wordWrap/>
        <w:overflowPunct/>
        <w:topLinePunct w:val="0"/>
        <w:autoSpaceDE/>
        <w:autoSpaceDN/>
        <w:bidi w:val="0"/>
        <w:adjustRightInd/>
        <w:snapToGrid/>
        <w:spacing w:line="360" w:lineRule="auto"/>
        <w:ind w:left="0" w:right="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本次招标公告同时在</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云南省公共资源交易信息（https://ggzy.yn.gov.cn/homePage）</w:t>
      </w:r>
      <w:r>
        <w:rPr>
          <w:rFonts w:hint="eastAsia" w:asciiTheme="minorEastAsia" w:hAnsiTheme="minorEastAsia" w:eastAsiaTheme="minorEastAsia" w:cstheme="minorEastAsia"/>
          <w:b w:val="0"/>
          <w:bCs w:val="0"/>
          <w:color w:val="auto"/>
          <w:kern w:val="2"/>
          <w:sz w:val="24"/>
          <w:szCs w:val="24"/>
          <w:highlight w:val="none"/>
          <w:lang w:val="en-US" w:eastAsia="zh-CN" w:bidi="ar-SA"/>
        </w:rPr>
        <w:t>和</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上发布。</w:t>
      </w:r>
      <w:bookmarkStart w:id="17" w:name="9. 评标办法"/>
      <w:bookmarkEnd w:id="17"/>
      <w:bookmarkStart w:id="18" w:name="_bookmark10"/>
      <w:bookmarkEnd w:id="18"/>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1"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bookmarkStart w:id="19" w:name="_bookmark11"/>
      <w:bookmarkEnd w:id="19"/>
      <w:bookmarkStart w:id="20" w:name="10. 联系方式"/>
      <w:bookmarkEnd w:id="20"/>
      <w:r>
        <w:rPr>
          <w:rFonts w:hint="eastAsia" w:asciiTheme="minorEastAsia" w:hAnsiTheme="minorEastAsia" w:eastAsiaTheme="minorEastAsia" w:cstheme="minorEastAsia"/>
          <w:b/>
          <w:bCs/>
          <w:color w:val="auto"/>
          <w:sz w:val="24"/>
          <w:szCs w:val="24"/>
          <w:highlight w:val="none"/>
          <w:lang w:val="en-US" w:eastAsia="zh-CN" w:bidi="ar-SA"/>
        </w:rPr>
        <w:t>9</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 xml:space="preserve">联系方式   </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p>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项目负责人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行政监督单位：</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督</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pPr>
        <w:spacing w:before="0" w:line="240" w:lineRule="auto"/>
        <w:rPr>
          <w:rFonts w:hint="eastAsia" w:asciiTheme="minorEastAsia" w:hAnsiTheme="minorEastAsia" w:eastAsiaTheme="minorEastAsia" w:cstheme="minorEastAsia"/>
          <w:color w:val="auto"/>
          <w:sz w:val="24"/>
          <w:szCs w:val="24"/>
          <w:highlight w:val="none"/>
        </w:rPr>
      </w:pPr>
    </w:p>
    <w:p>
      <w:pPr>
        <w:spacing w:before="0" w:line="240" w:lineRule="auto"/>
        <w:rPr>
          <w:rFonts w:hint="eastAsia" w:asciiTheme="minorEastAsia" w:hAnsiTheme="minorEastAsia" w:eastAsiaTheme="minorEastAsia" w:cstheme="minorEastAsia"/>
          <w:color w:val="auto"/>
          <w:sz w:val="24"/>
          <w:szCs w:val="24"/>
          <w:highlight w:val="none"/>
        </w:rPr>
      </w:pPr>
    </w:p>
    <w:p>
      <w:pPr>
        <w:spacing w:before="0" w:line="240" w:lineRule="auto"/>
        <w:rPr>
          <w:rFonts w:hint="eastAsia" w:asciiTheme="minorEastAsia" w:hAnsiTheme="minorEastAsia" w:eastAsiaTheme="minorEastAsia" w:cstheme="minorEastAsia"/>
          <w:color w:val="auto"/>
          <w:sz w:val="24"/>
          <w:szCs w:val="24"/>
          <w:highlight w:val="none"/>
        </w:rPr>
      </w:pPr>
    </w:p>
    <w:p>
      <w:pPr>
        <w:spacing w:before="11" w:line="240" w:lineRule="auto"/>
        <w:rPr>
          <w:rFonts w:hint="eastAsia" w:asciiTheme="minorEastAsia" w:hAnsiTheme="minorEastAsia" w:eastAsiaTheme="minorEastAsia" w:cstheme="minorEastAsia"/>
          <w:color w:val="auto"/>
          <w:sz w:val="24"/>
          <w:szCs w:val="24"/>
          <w:highlight w:val="none"/>
        </w:rPr>
      </w:pPr>
    </w:p>
    <w:p>
      <w:pPr>
        <w:pStyle w:val="9"/>
        <w:tabs>
          <w:tab w:val="left" w:pos="5249"/>
          <w:tab w:val="left" w:pos="6612"/>
          <w:tab w:val="left" w:pos="7978"/>
        </w:tabs>
        <w:spacing w:before="34" w:line="240" w:lineRule="auto"/>
        <w:ind w:left="4092" w:right="0"/>
        <w:jc w:val="left"/>
        <w:rPr>
          <w:rFonts w:hint="eastAsia" w:asciiTheme="minorEastAsia" w:hAnsiTheme="minorEastAsia" w:eastAsiaTheme="minorEastAsia" w:cstheme="minorEastAsia"/>
          <w:color w:val="auto"/>
          <w:spacing w:val="2"/>
          <w:w w:val="95"/>
          <w:sz w:val="24"/>
          <w:szCs w:val="24"/>
          <w:highlight w:val="none"/>
          <w:u w:val="none"/>
          <w:lang w:val="en-US" w:eastAsia="zh-CN"/>
        </w:rPr>
      </w:pPr>
      <w:r>
        <w:rPr>
          <w:rFonts w:hint="eastAsia" w:asciiTheme="minorEastAsia" w:hAnsiTheme="minorEastAsia" w:eastAsiaTheme="minorEastAsia" w:cstheme="minorEastAsia"/>
          <w:color w:val="auto"/>
          <w:spacing w:val="-1"/>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
          <w:w w:val="95"/>
          <w:sz w:val="24"/>
          <w:szCs w:val="24"/>
          <w:highlight w:val="none"/>
        </w:rPr>
        <w:t>年</w:t>
      </w:r>
      <w:r>
        <w:rPr>
          <w:rFonts w:hint="eastAsia" w:asciiTheme="minorEastAsia" w:hAnsiTheme="minorEastAsia" w:eastAsiaTheme="minorEastAsia" w:cstheme="minorEastAsia"/>
          <w:color w:val="auto"/>
          <w:spacing w:val="-1"/>
          <w:w w:val="95"/>
          <w:sz w:val="24"/>
          <w:szCs w:val="24"/>
          <w:highlight w:val="none"/>
          <w:u w:val="single" w:color="000000"/>
        </w:rPr>
        <w:tab/>
      </w:r>
      <w:r>
        <w:rPr>
          <w:rFonts w:hint="eastAsia" w:asciiTheme="minorEastAsia" w:hAnsiTheme="minorEastAsia" w:eastAsiaTheme="minorEastAsia" w:cstheme="minorEastAsia"/>
          <w:color w:val="auto"/>
          <w:spacing w:val="2"/>
          <w:w w:val="95"/>
          <w:sz w:val="24"/>
          <w:szCs w:val="24"/>
          <w:highlight w:val="none"/>
        </w:rPr>
        <w:t>月</w:t>
      </w:r>
      <w:r>
        <w:rPr>
          <w:rFonts w:hint="eastAsia" w:asciiTheme="minorEastAsia" w:hAnsiTheme="minorEastAsia" w:eastAsiaTheme="minorEastAsia" w:cstheme="minorEastAsia"/>
          <w:color w:val="auto"/>
          <w:spacing w:val="2"/>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95"/>
          <w:sz w:val="24"/>
          <w:szCs w:val="24"/>
          <w:highlight w:val="none"/>
          <w:u w:val="none"/>
          <w:lang w:val="en-US" w:eastAsia="zh-CN"/>
        </w:rPr>
        <w:t>日</w:t>
      </w: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pStyle w:val="9"/>
        <w:tabs>
          <w:tab w:val="left" w:pos="5249"/>
          <w:tab w:val="left" w:pos="6612"/>
          <w:tab w:val="left" w:pos="7978"/>
        </w:tabs>
        <w:spacing w:before="34" w:line="240" w:lineRule="auto"/>
        <w:ind w:left="4092" w:right="0"/>
        <w:jc w:val="left"/>
        <w:rPr>
          <w:rFonts w:hint="eastAsia" w:ascii="方正仿宋_GBK" w:hAnsi="方正仿宋_GBK" w:eastAsia="方正仿宋_GBK" w:cs="方正仿宋_GBK"/>
          <w:color w:val="auto"/>
          <w:spacing w:val="2"/>
          <w:w w:val="95"/>
          <w:sz w:val="32"/>
          <w:szCs w:val="32"/>
          <w:highlight w:val="none"/>
        </w:rPr>
      </w:pPr>
    </w:p>
    <w:p>
      <w:pPr>
        <w:ind w:left="0" w:leftChars="0" w:firstLine="0" w:firstLineChars="0"/>
        <w:jc w:val="center"/>
        <w:rPr>
          <w:rFonts w:hint="eastAsia" w:asciiTheme="majorEastAsia" w:hAnsiTheme="majorEastAsia" w:eastAsiaTheme="majorEastAsia" w:cstheme="majorEastAsia"/>
          <w:b/>
          <w:bCs/>
          <w:color w:val="auto"/>
          <w:sz w:val="44"/>
          <w:szCs w:val="44"/>
          <w:highlight w:val="none"/>
        </w:rPr>
      </w:pPr>
      <w:bookmarkStart w:id="21" w:name="第一章投标邀请书（适用于邀请招标）"/>
      <w:bookmarkEnd w:id="21"/>
      <w:bookmarkStart w:id="22" w:name="_bookmark12"/>
      <w:bookmarkEnd w:id="22"/>
      <w:bookmarkStart w:id="23" w:name="_Toc27463"/>
      <w:r>
        <w:rPr>
          <w:rFonts w:hint="eastAsia" w:asciiTheme="majorEastAsia" w:hAnsiTheme="majorEastAsia" w:eastAsiaTheme="majorEastAsia" w:cstheme="majorEastAsia"/>
          <w:b/>
          <w:bCs/>
          <w:color w:val="auto"/>
          <w:sz w:val="44"/>
          <w:szCs w:val="44"/>
          <w:highlight w:val="none"/>
        </w:rPr>
        <w:br w:type="page"/>
      </w:r>
      <w:r>
        <w:rPr>
          <w:rFonts w:hint="eastAsia" w:asciiTheme="majorEastAsia" w:hAnsiTheme="majorEastAsia" w:eastAsiaTheme="majorEastAsia" w:cstheme="majorEastAsia"/>
          <w:b/>
          <w:bCs/>
          <w:color w:val="auto"/>
          <w:sz w:val="44"/>
          <w:szCs w:val="44"/>
          <w:highlight w:val="none"/>
        </w:rPr>
        <w:t>第一章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投标邀请书（适用于邀请招标）</w:t>
      </w:r>
      <w:bookmarkEnd w:id="23"/>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华文中宋" w:hAnsi="华文中宋" w:eastAsia="华文中宋" w:cs="华文中宋"/>
          <w:color w:val="auto"/>
          <w:sz w:val="19"/>
          <w:szCs w:val="19"/>
          <w:highlight w:val="none"/>
        </w:rPr>
      </w:pPr>
    </w:p>
    <w:p>
      <w:pPr>
        <w:keepNext w:val="0"/>
        <w:keepLines w:val="0"/>
        <w:pageBreakBefore w:val="0"/>
        <w:widowControl w:val="0"/>
        <w:tabs>
          <w:tab w:val="left" w:pos="2700"/>
          <w:tab w:val="left" w:pos="5580"/>
        </w:tabs>
        <w:kinsoku/>
        <w:wordWrap/>
        <w:overflowPunct/>
        <w:topLinePunct w:val="0"/>
        <w:autoSpaceDE/>
        <w:autoSpaceDN/>
        <w:bidi w:val="0"/>
        <w:adjustRightInd w:val="0"/>
        <w:snapToGrid w:val="0"/>
        <w:spacing w:before="0" w:line="360" w:lineRule="auto"/>
        <w:ind w:left="0" w:right="0" w:firstLine="0" w:firstLineChars="0"/>
        <w:jc w:val="left"/>
        <w:textAlignment w:val="auto"/>
        <w:outlineLvl w:val="9"/>
        <w:rPr>
          <w:rFonts w:hint="eastAsia" w:asciiTheme="minorEastAsia" w:hAnsiTheme="minorEastAsia" w:eastAsiaTheme="minorEastAsia" w:cstheme="minorEastAsia"/>
          <w:color w:val="auto"/>
          <w:sz w:val="32"/>
          <w:szCs w:val="32"/>
          <w:highlight w:val="none"/>
          <w:u w:val="none"/>
        </w:rPr>
      </w:pPr>
      <w:r>
        <w:rPr>
          <w:rFonts w:hint="eastAsia" w:asciiTheme="minorEastAsia" w:hAnsiTheme="minorEastAsia" w:eastAsiaTheme="minorEastAsia" w:cstheme="minorEastAsia"/>
          <w:color w:val="auto"/>
          <w:sz w:val="32"/>
          <w:szCs w:val="32"/>
          <w:highlight w:val="none"/>
          <w:u w:val="single" w:color="000000"/>
        </w:rPr>
        <w:t xml:space="preserve"> </w:t>
      </w:r>
      <w:r>
        <w:rPr>
          <w:rFonts w:hint="eastAsia" w:asciiTheme="minorEastAsia" w:hAnsiTheme="minorEastAsia" w:eastAsiaTheme="minorEastAsia" w:cstheme="minorEastAsia"/>
          <w:color w:val="auto"/>
          <w:sz w:val="32"/>
          <w:szCs w:val="32"/>
          <w:highlight w:val="none"/>
          <w:u w:val="single" w:color="000000"/>
        </w:rPr>
        <w:tab/>
      </w:r>
      <w:r>
        <w:rPr>
          <w:rFonts w:hint="eastAsia" w:asciiTheme="minorEastAsia" w:hAnsiTheme="minorEastAsia" w:eastAsiaTheme="minorEastAsia" w:cstheme="minorEastAsia"/>
          <w:color w:val="auto"/>
          <w:spacing w:val="-1"/>
          <w:sz w:val="32"/>
          <w:szCs w:val="32"/>
          <w:highlight w:val="none"/>
          <w:u w:val="none"/>
        </w:rPr>
        <w:t>（项目名称）</w:t>
      </w:r>
      <w:r>
        <w:rPr>
          <w:rFonts w:hint="eastAsia" w:asciiTheme="minorEastAsia" w:hAnsiTheme="minorEastAsia" w:eastAsiaTheme="minorEastAsia" w:cstheme="minorEastAsia"/>
          <w:color w:val="auto"/>
          <w:spacing w:val="-1"/>
          <w:sz w:val="32"/>
          <w:szCs w:val="32"/>
          <w:highlight w:val="none"/>
          <w:u w:val="single" w:color="000000"/>
        </w:rPr>
        <w:tab/>
      </w:r>
      <w:r>
        <w:rPr>
          <w:rFonts w:hint="eastAsia" w:asciiTheme="minorEastAsia" w:hAnsiTheme="minorEastAsia" w:eastAsiaTheme="minorEastAsia" w:cstheme="minorEastAsia"/>
          <w:color w:val="auto"/>
          <w:sz w:val="32"/>
          <w:szCs w:val="32"/>
          <w:highlight w:val="none"/>
          <w:u w:val="none"/>
        </w:rPr>
        <w:t>标段施工投标邀请书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32"/>
          <w:szCs w:val="32"/>
          <w:highlight w:val="none"/>
        </w:rPr>
      </w:pPr>
    </w:p>
    <w:p>
      <w:pPr>
        <w:pStyle w:val="9"/>
        <w:keepNext w:val="0"/>
        <w:keepLines w:val="0"/>
        <w:pageBreakBefore w:val="0"/>
        <w:widowControl w:val="0"/>
        <w:tabs>
          <w:tab w:val="left" w:pos="1683"/>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w w:val="99"/>
          <w:sz w:val="28"/>
          <w:szCs w:val="28"/>
          <w:highlight w:val="none"/>
          <w:u w:val="single" w:color="000000"/>
        </w:rPr>
        <w:t xml:space="preserve"> </w:t>
      </w:r>
      <w:r>
        <w:rPr>
          <w:rFonts w:hint="eastAsia" w:asciiTheme="minorEastAsia" w:hAnsiTheme="minorEastAsia" w:eastAsiaTheme="minorEastAsia" w:cstheme="minorEastAsia"/>
          <w:color w:val="auto"/>
          <w:sz w:val="28"/>
          <w:szCs w:val="28"/>
          <w:highlight w:val="none"/>
          <w:u w:val="single" w:color="000000"/>
        </w:rPr>
        <w:tab/>
      </w:r>
      <w:r>
        <w:rPr>
          <w:rFonts w:hint="eastAsia" w:asciiTheme="minorEastAsia" w:hAnsiTheme="minorEastAsia" w:eastAsiaTheme="minorEastAsia" w:cstheme="minorEastAsia"/>
          <w:color w:val="auto"/>
          <w:spacing w:val="-11"/>
          <w:sz w:val="28"/>
          <w:szCs w:val="28"/>
          <w:highlight w:val="none"/>
        </w:rPr>
        <w:t>（被邀请单位名称）：</w:t>
      </w:r>
    </w:p>
    <w:p>
      <w:pPr>
        <w:keepNext w:val="0"/>
        <w:keepLines w:val="0"/>
        <w:pageBreakBefore w:val="0"/>
        <w:widowControl w:val="0"/>
        <w:numPr>
          <w:ilvl w:val="0"/>
          <w:numId w:val="0"/>
        </w:numPr>
        <w:kinsoku/>
        <w:wordWrap/>
        <w:overflowPunct/>
        <w:topLinePunct w:val="0"/>
        <w:autoSpaceDE/>
        <w:autoSpaceDN/>
        <w:bidi w:val="0"/>
        <w:adjustRightInd/>
        <w:snapToGrid/>
        <w:spacing w:before="182" w:line="360" w:lineRule="auto"/>
        <w:ind w:right="105"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rPr>
      </w:pPr>
      <w:bookmarkStart w:id="24" w:name="_bookmark13"/>
      <w:bookmarkEnd w:id="24"/>
      <w:bookmarkStart w:id="25" w:name="_bookmark23"/>
      <w:bookmarkEnd w:id="25"/>
      <w:bookmarkStart w:id="26" w:name="1. 招标条件"/>
      <w:bookmarkEnd w:id="26"/>
      <w:bookmarkStart w:id="27" w:name="第二章投标人须知"/>
      <w:bookmarkEnd w:id="27"/>
      <w:r>
        <w:rPr>
          <w:rFonts w:hint="eastAsia" w:asciiTheme="minorEastAsia" w:hAnsiTheme="minorEastAsia" w:eastAsiaTheme="minorEastAsia" w:cstheme="minorEastAsia"/>
          <w:b/>
          <w:bCs/>
          <w:color w:val="auto"/>
          <w:sz w:val="24"/>
          <w:szCs w:val="24"/>
          <w:highlight w:val="none"/>
          <w:lang w:val="en-US" w:eastAsia="en-US" w:bidi="ar-SA"/>
        </w:rPr>
        <w:t>1.</w:t>
      </w:r>
      <w:r>
        <w:rPr>
          <w:rFonts w:hint="eastAsia" w:asciiTheme="minorEastAsia" w:hAnsiTheme="minorEastAsia" w:eastAsiaTheme="minorEastAsia" w:cstheme="minorEastAsia"/>
          <w:b/>
          <w:bCs/>
          <w:color w:val="auto"/>
          <w:sz w:val="24"/>
          <w:szCs w:val="24"/>
          <w:highlight w:val="none"/>
        </w:rPr>
        <w:t>招标条件</w:t>
      </w:r>
    </w:p>
    <w:p>
      <w:pPr>
        <w:pStyle w:val="9"/>
        <w:keepNext w:val="0"/>
        <w:keepLines w:val="0"/>
        <w:pageBreakBefore w:val="0"/>
        <w:widowControl w:val="0"/>
        <w:tabs>
          <w:tab w:val="left" w:pos="2335"/>
          <w:tab w:val="left" w:pos="2652"/>
          <w:tab w:val="left" w:pos="3041"/>
          <w:tab w:val="left" w:pos="6175"/>
          <w:tab w:val="left" w:pos="6245"/>
          <w:tab w:val="left" w:pos="8050"/>
          <w:tab w:val="left" w:pos="8789"/>
        </w:tabs>
        <w:kinsoku/>
        <w:wordWrap/>
        <w:overflowPunct/>
        <w:topLinePunct w:val="0"/>
        <w:autoSpaceDE/>
        <w:autoSpaceDN/>
        <w:bidi w:val="0"/>
        <w:adjustRightInd/>
        <w:snapToGrid/>
        <w:spacing w:line="360" w:lineRule="auto"/>
        <w:ind w:left="0" w:right="0" w:firstLine="456"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w w:val="95"/>
          <w:sz w:val="24"/>
          <w:szCs w:val="24"/>
          <w:highlight w:val="none"/>
        </w:rPr>
        <w:t>本招标项目</w:t>
      </w:r>
      <w:r>
        <w:rPr>
          <w:rFonts w:hint="eastAsia" w:asciiTheme="minorEastAsia" w:hAnsiTheme="minorEastAsia" w:eastAsiaTheme="minorEastAsia" w:cstheme="minorEastAsia"/>
          <w:color w:val="auto"/>
          <w:w w:val="95"/>
          <w:sz w:val="24"/>
          <w:szCs w:val="24"/>
          <w:highlight w:val="none"/>
          <w:u w:val="single" w:color="000000"/>
        </w:rPr>
        <w:tab/>
      </w:r>
      <w:r>
        <w:rPr>
          <w:rFonts w:hint="eastAsia" w:asciiTheme="minorEastAsia" w:hAnsiTheme="minorEastAsia" w:eastAsiaTheme="minorEastAsia" w:cstheme="minorEastAsia"/>
          <w:color w:val="auto"/>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1"/>
          <w:w w:val="95"/>
          <w:sz w:val="24"/>
          <w:szCs w:val="24"/>
          <w:highlight w:val="none"/>
        </w:rPr>
        <w:t>（项目名称）已由</w:t>
      </w:r>
      <w:r>
        <w:rPr>
          <w:rFonts w:hint="eastAsia" w:asciiTheme="minorEastAsia" w:hAnsiTheme="minorEastAsia" w:eastAsiaTheme="minorEastAsia" w:cstheme="minorEastAsia"/>
          <w:color w:val="auto"/>
          <w:spacing w:val="-1"/>
          <w:w w:val="95"/>
          <w:sz w:val="24"/>
          <w:szCs w:val="24"/>
          <w:highlight w:val="none"/>
          <w:u w:val="single" w:color="000000"/>
        </w:rPr>
        <w:tab/>
      </w:r>
      <w:r>
        <w:rPr>
          <w:rFonts w:hint="eastAsia" w:asciiTheme="minorEastAsia" w:hAnsiTheme="minorEastAsia" w:eastAsiaTheme="minorEastAsia" w:cstheme="minorEastAsia"/>
          <w:color w:val="auto"/>
          <w:spacing w:val="-1"/>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1"/>
          <w:sz w:val="24"/>
          <w:szCs w:val="24"/>
          <w:highlight w:val="none"/>
        </w:rPr>
        <w:t>（项目审批、核准或备案机关</w:t>
      </w:r>
      <w:r>
        <w:rPr>
          <w:rFonts w:hint="eastAsia" w:asciiTheme="minorEastAsia" w:hAnsiTheme="minorEastAsia" w:eastAsiaTheme="minorEastAsia" w:cstheme="minorEastAsia"/>
          <w:color w:val="auto"/>
          <w:sz w:val="24"/>
          <w:szCs w:val="24"/>
          <w:highlight w:val="none"/>
        </w:rPr>
        <w:t>名称）以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95"/>
          <w:sz w:val="24"/>
          <w:szCs w:val="24"/>
          <w:highlight w:val="none"/>
        </w:rPr>
        <w:t>（批文名称及编号）批准建设，项目业主为</w:t>
      </w:r>
      <w:r>
        <w:rPr>
          <w:rFonts w:hint="eastAsia" w:asciiTheme="minorEastAsia" w:hAnsiTheme="minorEastAsia" w:eastAsiaTheme="minorEastAsia" w:cstheme="minorEastAsia"/>
          <w:color w:val="auto"/>
          <w:spacing w:val="2"/>
          <w:w w:val="95"/>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，建设资</w:t>
      </w:r>
      <w:r>
        <w:rPr>
          <w:rFonts w:hint="eastAsia" w:asciiTheme="minorEastAsia" w:hAnsiTheme="minorEastAsia" w:eastAsiaTheme="minorEastAsia" w:cstheme="minorEastAsia"/>
          <w:color w:val="auto"/>
          <w:w w:val="95"/>
          <w:sz w:val="24"/>
          <w:szCs w:val="24"/>
          <w:highlight w:val="none"/>
        </w:rPr>
        <w:t>金来自</w:t>
      </w:r>
      <w:r>
        <w:rPr>
          <w:rFonts w:hint="eastAsia" w:asciiTheme="minorEastAsia" w:hAnsiTheme="minorEastAsia" w:eastAsiaTheme="minorEastAsia" w:cstheme="minorEastAsia"/>
          <w:color w:val="auto"/>
          <w:w w:val="95"/>
          <w:sz w:val="24"/>
          <w:szCs w:val="24"/>
          <w:highlight w:val="none"/>
          <w:u w:val="single" w:color="auto"/>
          <w:lang w:val="en-US" w:eastAsia="zh-CN"/>
        </w:rPr>
        <w:t xml:space="preserve">    </w:t>
      </w:r>
      <w:r>
        <w:rPr>
          <w:rFonts w:hint="eastAsia" w:asciiTheme="minorEastAsia" w:hAnsiTheme="minorEastAsia" w:eastAsiaTheme="minorEastAsia" w:cstheme="minorEastAsia"/>
          <w:color w:val="auto"/>
          <w:spacing w:val="-13"/>
          <w:w w:val="95"/>
          <w:sz w:val="24"/>
          <w:szCs w:val="24"/>
          <w:highlight w:val="none"/>
          <w:u w:val="single" w:color="000000"/>
        </w:rPr>
        <w:t>（</w:t>
      </w:r>
      <w:r>
        <w:rPr>
          <w:rFonts w:hint="eastAsia" w:asciiTheme="minorEastAsia" w:hAnsiTheme="minorEastAsia" w:eastAsiaTheme="minorEastAsia" w:cstheme="minorEastAsia"/>
          <w:color w:val="auto"/>
          <w:spacing w:val="-13"/>
          <w:w w:val="95"/>
          <w:sz w:val="24"/>
          <w:szCs w:val="24"/>
          <w:highlight w:val="none"/>
        </w:rPr>
        <w:t>资金来源），项目出资比例为</w:t>
      </w:r>
      <w:r>
        <w:rPr>
          <w:rFonts w:hint="eastAsia" w:asciiTheme="minorEastAsia" w:hAnsiTheme="minorEastAsia" w:eastAsiaTheme="minorEastAsia" w:cstheme="minorEastAsia"/>
          <w:color w:val="auto"/>
          <w:spacing w:val="-13"/>
          <w:w w:val="95"/>
          <w:sz w:val="24"/>
          <w:szCs w:val="24"/>
          <w:highlight w:val="none"/>
          <w:u w:val="single" w:color="auto"/>
          <w:lang w:val="en-US" w:eastAsia="zh-CN"/>
        </w:rPr>
        <w:t xml:space="preserve">         </w:t>
      </w:r>
      <w:r>
        <w:rPr>
          <w:rFonts w:hint="eastAsia" w:asciiTheme="minorEastAsia" w:hAnsiTheme="minorEastAsia" w:eastAsiaTheme="minorEastAsia" w:cstheme="minorEastAsia"/>
          <w:color w:val="auto"/>
          <w:spacing w:val="-16"/>
          <w:w w:val="95"/>
          <w:sz w:val="24"/>
          <w:szCs w:val="24"/>
          <w:highlight w:val="none"/>
        </w:rPr>
        <w:t>，招标人为</w:t>
      </w:r>
      <w:r>
        <w:rPr>
          <w:rFonts w:hint="eastAsia" w:asciiTheme="minorEastAsia" w:hAnsiTheme="minorEastAsia" w:eastAsiaTheme="minorEastAsia" w:cstheme="minorEastAsia"/>
          <w:color w:val="auto"/>
          <w:spacing w:val="-16"/>
          <w:w w:val="95"/>
          <w:sz w:val="24"/>
          <w:szCs w:val="24"/>
          <w:highlight w:val="none"/>
          <w:u w:val="single" w:color="000000"/>
        </w:rPr>
        <w:tab/>
      </w:r>
      <w:r>
        <w:rPr>
          <w:rFonts w:hint="eastAsia" w:asciiTheme="minorEastAsia" w:hAnsiTheme="minorEastAsia" w:eastAsiaTheme="minorEastAsia" w:cstheme="minorEastAsia"/>
          <w:color w:val="auto"/>
          <w:spacing w:val="-16"/>
          <w:w w:val="95"/>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w w:val="99"/>
          <w:sz w:val="24"/>
          <w:szCs w:val="24"/>
          <w:highlight w:val="none"/>
        </w:rPr>
        <w:t xml:space="preserve"> </w:t>
      </w:r>
      <w:r>
        <w:rPr>
          <w:rFonts w:hint="eastAsia" w:asciiTheme="minorEastAsia" w:hAnsiTheme="minorEastAsia" w:eastAsiaTheme="minorEastAsia" w:cstheme="minorEastAsia"/>
          <w:color w:val="auto"/>
          <w:sz w:val="24"/>
          <w:szCs w:val="24"/>
          <w:highlight w:val="none"/>
        </w:rPr>
        <w:t>项目已具备招标条件，现对该项目的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（招标内容）</w:t>
      </w:r>
      <w:r>
        <w:rPr>
          <w:rFonts w:hint="eastAsia" w:asciiTheme="minorEastAsia" w:hAnsiTheme="minorEastAsia" w:eastAsiaTheme="minorEastAsia" w:cstheme="minorEastAsia"/>
          <w:color w:val="auto"/>
          <w:sz w:val="24"/>
          <w:szCs w:val="24"/>
          <w:highlight w:val="none"/>
        </w:rPr>
        <w:t>进行</w:t>
      </w:r>
      <w:r>
        <w:rPr>
          <w:rFonts w:hint="eastAsia" w:asciiTheme="minorEastAsia" w:hAnsiTheme="minorEastAsia" w:eastAsiaTheme="minorEastAsia" w:cstheme="minorEastAsia"/>
          <w:color w:val="auto"/>
          <w:sz w:val="24"/>
          <w:szCs w:val="24"/>
          <w:highlight w:val="none"/>
          <w:lang w:val="en-US" w:eastAsia="zh-CN"/>
        </w:rPr>
        <w:t>邀请</w:t>
      </w:r>
      <w:r>
        <w:rPr>
          <w:rFonts w:hint="eastAsia" w:asciiTheme="minorEastAsia" w:hAnsiTheme="minorEastAsia" w:eastAsiaTheme="minorEastAsia" w:cstheme="minorEastAsia"/>
          <w:color w:val="auto"/>
          <w:sz w:val="24"/>
          <w:szCs w:val="24"/>
          <w:highlight w:val="none"/>
        </w:rPr>
        <w:t>招标。</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en-US" w:bidi="ar-SA"/>
        </w:rPr>
        <w:t>2.</w:t>
      </w:r>
      <w:r>
        <w:rPr>
          <w:rFonts w:hint="eastAsia" w:asciiTheme="minorEastAsia" w:hAnsiTheme="minorEastAsia" w:eastAsiaTheme="minorEastAsia" w:cstheme="minorEastAsia"/>
          <w:b/>
          <w:bCs/>
          <w:color w:val="auto"/>
          <w:sz w:val="24"/>
          <w:szCs w:val="24"/>
          <w:highlight w:val="none"/>
        </w:rPr>
        <w:t>项目概况与招标范围</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2.1建设地点：</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2.2本次招标项目合同估算金额：</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2.3建设内容：</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2.4计划工期：</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2.5质量要求：</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2.6招标范围：</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2.7标段划分：</w:t>
      </w:r>
    </w:p>
    <w:p>
      <w:pPr>
        <w:pStyle w:val="9"/>
        <w:keepNext w:val="0"/>
        <w:keepLines w:val="0"/>
        <w:pageBreakBefore w:val="0"/>
        <w:widowControl w:val="0"/>
        <w:tabs>
          <w:tab w:val="left" w:pos="1368"/>
        </w:tabs>
        <w:kinsoku/>
        <w:wordWrap/>
        <w:overflowPunct/>
        <w:topLinePunct w:val="0"/>
        <w:autoSpaceDE/>
        <w:autoSpaceDN/>
        <w:bidi w:val="0"/>
        <w:adjustRightInd/>
        <w:snapToGrid/>
        <w:spacing w:before="34" w:line="360" w:lineRule="auto"/>
        <w:ind w:left="0" w:leftChars="0" w:right="108"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2.8其他……</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投标人资格要求</w:t>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3.1 拟参与本次招标的投标人应具备的资质条件、人员、设备、资金和信誉等要求：</w:t>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（1）资质条件：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（2）财务要求： </w:t>
      </w:r>
      <w:r>
        <w:rPr>
          <w:rFonts w:hint="eastAsia" w:asciiTheme="minorEastAsia" w:hAnsiTheme="minorEastAsia" w:eastAsiaTheme="minorEastAsia" w:cstheme="minorEastAsia"/>
          <w:color w:val="auto"/>
          <w:kern w:val="2"/>
          <w:sz w:val="24"/>
          <w:szCs w:val="24"/>
          <w:highlight w:val="none"/>
          <w:lang w:val="en-US" w:eastAsia="zh-CN" w:bidi="ar-SA"/>
        </w:rPr>
        <w:tab/>
      </w: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（3）信誉要求：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（4）项目负责人：（建造师，下同）资格： </w:t>
      </w:r>
      <w:r>
        <w:rPr>
          <w:rFonts w:hint="eastAsia" w:asciiTheme="minorEastAsia" w:hAnsiTheme="minorEastAsia" w:eastAsiaTheme="minorEastAsia" w:cstheme="minorEastAsia"/>
          <w:color w:val="auto"/>
          <w:kern w:val="2"/>
          <w:sz w:val="24"/>
          <w:szCs w:val="24"/>
          <w:highlight w:val="none"/>
          <w:lang w:val="en-US" w:eastAsia="zh-CN" w:bidi="ar-SA"/>
        </w:rPr>
        <w:tab/>
      </w:r>
      <w:r>
        <w:rPr>
          <w:rFonts w:hint="eastAsia" w:asciiTheme="minorEastAsia" w:hAnsiTheme="minorEastAsia" w:eastAsia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ab/>
      </w:r>
    </w:p>
    <w:p>
      <w:pPr>
        <w:pStyle w:val="9"/>
        <w:keepNext w:val="0"/>
        <w:keepLines w:val="0"/>
        <w:pageBreakBefore w:val="0"/>
        <w:widowControl w:val="0"/>
        <w:tabs>
          <w:tab w:val="left" w:pos="1368"/>
        </w:tabs>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（5）本次招标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（接受或不接受）联合体投标。联合体投标的，应满足下列要求：</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4.招标文件的获取</w:t>
      </w:r>
    </w:p>
    <w:p>
      <w:pPr>
        <w:adjustRightInd w:val="0"/>
        <w:snapToGrid w:val="0"/>
        <w:spacing w:after="0" w:line="360" w:lineRule="auto"/>
        <w:ind w:left="240" w:leftChars="75" w:firstLine="240" w:firstLineChars="100"/>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SA"/>
        </w:rPr>
        <w:t xml:space="preserve">4.1 </w:t>
      </w:r>
      <w:r>
        <w:rPr>
          <w:rFonts w:hint="eastAsia" w:asciiTheme="minorEastAsia" w:hAnsiTheme="minorEastAsia" w:eastAsiaTheme="minorEastAsia" w:cstheme="minorEastAsia"/>
          <w:color w:val="auto"/>
          <w:kern w:val="0"/>
          <w:sz w:val="24"/>
          <w:szCs w:val="24"/>
          <w:highlight w:val="none"/>
          <w:lang w:val="en-US" w:eastAsia="en-US" w:bidi="ar-SA"/>
        </w:rPr>
        <w:t>招标文件获取时间：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分至</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分；</w:t>
      </w:r>
    </w:p>
    <w:p>
      <w:pPr>
        <w:pStyle w:val="9"/>
        <w:keepNext w:val="0"/>
        <w:keepLines w:val="0"/>
        <w:pageBreakBefore w:val="0"/>
        <w:widowControl w:val="0"/>
        <w:tabs>
          <w:tab w:val="left" w:pos="4097"/>
          <w:tab w:val="left" w:pos="4594"/>
          <w:tab w:val="left" w:pos="5748"/>
          <w:tab w:val="left" w:pos="6903"/>
          <w:tab w:val="left" w:pos="8059"/>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u w:val="none"/>
        </w:rPr>
      </w:pPr>
      <w:r>
        <w:rPr>
          <w:rFonts w:hint="eastAsia" w:asciiTheme="minorEastAsia" w:hAnsiTheme="minorEastAsia" w:eastAsiaTheme="minorEastAsia" w:cstheme="minorEastAsia"/>
          <w:color w:val="auto"/>
          <w:kern w:val="0"/>
          <w:sz w:val="24"/>
          <w:szCs w:val="24"/>
          <w:highlight w:val="none"/>
          <w:lang w:val="en-US" w:eastAsia="zh-CN"/>
        </w:rPr>
        <w:t xml:space="preserve">4.2 </w:t>
      </w:r>
      <w:r>
        <w:rPr>
          <w:rFonts w:hint="eastAsia" w:asciiTheme="minorEastAsia" w:hAnsiTheme="minorEastAsia" w:eastAsiaTheme="minorEastAsia" w:cstheme="minorEastAsia"/>
          <w:color w:val="auto"/>
          <w:kern w:val="0"/>
          <w:sz w:val="24"/>
          <w:szCs w:val="24"/>
          <w:highlight w:val="none"/>
        </w:rPr>
        <w:t>凡</w:t>
      </w:r>
      <w:r>
        <w:rPr>
          <w:rFonts w:hint="eastAsia" w:asciiTheme="minorEastAsia" w:hAnsiTheme="minorEastAsia" w:eastAsiaTheme="minorEastAsia" w:cstheme="minorEastAsia"/>
          <w:color w:val="auto"/>
          <w:kern w:val="0"/>
          <w:sz w:val="24"/>
          <w:szCs w:val="24"/>
          <w:highlight w:val="none"/>
          <w:lang w:val="en-US" w:eastAsia="zh-CN"/>
        </w:rPr>
        <w:t>接到邀请</w:t>
      </w:r>
      <w:r>
        <w:rPr>
          <w:rFonts w:hint="eastAsia" w:asciiTheme="minorEastAsia" w:hAnsiTheme="minorEastAsia" w:eastAsiaTheme="minorEastAsia" w:cstheme="minorEastAsia"/>
          <w:color w:val="auto"/>
          <w:kern w:val="0"/>
          <w:sz w:val="24"/>
          <w:szCs w:val="24"/>
          <w:highlight w:val="none"/>
        </w:rPr>
        <w:t>者，登录</w:t>
      </w:r>
      <w:r>
        <w:rPr>
          <w:rFonts w:hint="eastAsia" w:asciiTheme="minorEastAsia" w:hAnsiTheme="minorEastAsia" w:eastAsiaTheme="minorEastAsia" w:cstheme="minorEastAsia"/>
          <w:color w:val="auto"/>
          <w:kern w:val="0"/>
          <w:sz w:val="24"/>
          <w:szCs w:val="24"/>
          <w:highlight w:val="none"/>
          <w:lang w:eastAsia="zh-CN"/>
        </w:rPr>
        <w:t>云南省公共资源交易信息网</w:t>
      </w:r>
      <w:r>
        <w:rPr>
          <w:rFonts w:hint="eastAsia" w:asciiTheme="minorEastAsia" w:hAnsiTheme="minorEastAsia" w:eastAsiaTheme="minorEastAsia" w:cstheme="minorEastAsia"/>
          <w:color w:val="auto"/>
          <w:kern w:val="0"/>
          <w:sz w:val="24"/>
          <w:szCs w:val="24"/>
          <w:highlight w:val="none"/>
          <w:u w:val="single"/>
        </w:rPr>
        <w:fldChar w:fldCharType="begin"/>
      </w:r>
      <w:r>
        <w:rPr>
          <w:rFonts w:hint="eastAsia" w:asciiTheme="minorEastAsia" w:hAnsiTheme="minorEastAsia" w:eastAsiaTheme="minorEastAsia" w:cstheme="minorEastAsia"/>
          <w:color w:val="auto"/>
          <w:kern w:val="0"/>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kern w:val="0"/>
          <w:sz w:val="24"/>
          <w:szCs w:val="24"/>
          <w:highlight w:val="none"/>
          <w:u w:val="single"/>
        </w:rPr>
        <w:fldChar w:fldCharType="separate"/>
      </w:r>
      <w:r>
        <w:rPr>
          <w:rStyle w:val="21"/>
          <w:rFonts w:hint="eastAsia" w:asciiTheme="minorEastAsia" w:hAnsiTheme="minorEastAsia" w:eastAsiaTheme="minorEastAsia" w:cstheme="minorEastAsia"/>
          <w:color w:val="auto"/>
          <w:kern w:val="0"/>
          <w:sz w:val="24"/>
          <w:szCs w:val="24"/>
          <w:highlight w:val="none"/>
        </w:rPr>
        <w:t>http://ggzy.yn.gov.cn/#/homePage</w:t>
      </w:r>
      <w:r>
        <w:rPr>
          <w:rFonts w:hint="eastAsia" w:asciiTheme="minorEastAsia" w:hAnsiTheme="minorEastAsia" w:eastAsiaTheme="minorEastAsia" w:cstheme="minorEastAsia"/>
          <w:color w:val="auto"/>
          <w:kern w:val="0"/>
          <w:sz w:val="24"/>
          <w:szCs w:val="24"/>
          <w:highlight w:val="none"/>
          <w:u w:val="single"/>
        </w:rPr>
        <w:fldChar w:fldCharType="end"/>
      </w:r>
      <w:r>
        <w:rPr>
          <w:rFonts w:hint="eastAsia" w:asciiTheme="minorEastAsia" w:hAnsiTheme="minorEastAsia" w:eastAsiaTheme="minorEastAsia" w:cstheme="minorEastAsia"/>
          <w:color w:val="auto"/>
          <w:kern w:val="0"/>
          <w:sz w:val="24"/>
          <w:szCs w:val="24"/>
          <w:highlight w:val="none"/>
        </w:rPr>
        <w:t>，凭企业数字证书（CA）在网上获取招标文件及其它招标资料。其它招标资料（含招标电子技术标文件，格式为*.</w:t>
      </w:r>
      <w:r>
        <w:rPr>
          <w:rFonts w:hint="eastAsia" w:asciiTheme="minorEastAsia" w:hAnsiTheme="minorEastAsia" w:eastAsiaTheme="minorEastAsia" w:cstheme="minorEastAsia"/>
          <w:color w:val="auto"/>
          <w:kern w:val="0"/>
          <w:sz w:val="24"/>
          <w:szCs w:val="24"/>
          <w:highlight w:val="none"/>
          <w:lang w:val="en-US" w:eastAsia="zh-CN"/>
        </w:rPr>
        <w:t>XXX</w:t>
      </w:r>
      <w:r>
        <w:rPr>
          <w:rFonts w:hint="eastAsia" w:asciiTheme="minorEastAsia" w:hAnsiTheme="minorEastAsia" w:eastAsiaTheme="minorEastAsia" w:cstheme="minorEastAsia"/>
          <w:color w:val="auto"/>
          <w:kern w:val="0"/>
          <w:sz w:val="24"/>
          <w:szCs w:val="24"/>
          <w:highlight w:val="none"/>
        </w:rPr>
        <w:t>；招标电子商务标文件，格式为*.</w:t>
      </w:r>
      <w:r>
        <w:rPr>
          <w:rFonts w:hint="eastAsia" w:asciiTheme="minorEastAsia" w:hAnsiTheme="minorEastAsia" w:eastAsiaTheme="minorEastAsia" w:cstheme="minorEastAsia"/>
          <w:color w:val="auto"/>
          <w:kern w:val="0"/>
          <w:sz w:val="24"/>
          <w:szCs w:val="24"/>
          <w:highlight w:val="none"/>
          <w:lang w:val="en-US" w:eastAsia="zh-CN"/>
        </w:rPr>
        <w:t>XXX</w:t>
      </w:r>
      <w:r>
        <w:rPr>
          <w:rFonts w:hint="eastAsia" w:asciiTheme="minorEastAsia" w:hAnsiTheme="minorEastAsia" w:eastAsiaTheme="minorEastAsia" w:cstheme="minorEastAsia"/>
          <w:color w:val="auto"/>
          <w:kern w:val="0"/>
          <w:sz w:val="24"/>
          <w:szCs w:val="24"/>
          <w:highlight w:val="none"/>
        </w:rPr>
        <w:t>、图纸（电子版））。未办理企业数字证书（CA）的企业需要按照云南省公共资源交易电子认证的要求，办理企业数字证书（CA），并在</w:t>
      </w: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AUTOTEXT  input423 \* MERGEFORMAT </w:instrText>
      </w:r>
      <w:r>
        <w:rPr>
          <w:rFonts w:hint="eastAsia" w:asciiTheme="minorEastAsia" w:hAnsiTheme="minorEastAsia" w:eastAsiaTheme="minorEastAsia" w:cstheme="minorEastAsia"/>
          <w:color w:val="auto"/>
          <w:kern w:val="0"/>
          <w:sz w:val="24"/>
          <w:szCs w:val="24"/>
          <w:highlight w:val="none"/>
        </w:rPr>
        <w:fldChar w:fldCharType="separate"/>
      </w:r>
      <w:r>
        <w:rPr>
          <w:rFonts w:hint="eastAsia" w:asciiTheme="minorEastAsia" w:hAnsiTheme="minorEastAsia" w:eastAsiaTheme="minorEastAsia" w:cstheme="minorEastAsia"/>
          <w:color w:val="auto"/>
          <w:kern w:val="0"/>
          <w:sz w:val="24"/>
          <w:szCs w:val="24"/>
          <w:highlight w:val="none"/>
        </w:rPr>
        <w:t>云南省公共资源交易信息网</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完成注册通过后，便可获取招标文件，此为获取招标文件的唯一途径。</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input492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技术操作咨询：北京筑龙信息技术有限责任公司；服务热线：010-86483801</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u w:val="none"/>
        </w:rPr>
        <w:t>。</w:t>
      </w:r>
    </w:p>
    <w:p>
      <w:pPr>
        <w:pStyle w:val="9"/>
        <w:keepNext w:val="0"/>
        <w:keepLines w:val="0"/>
        <w:pageBreakBefore w:val="0"/>
        <w:widowControl w:val="0"/>
        <w:tabs>
          <w:tab w:val="left" w:pos="4097"/>
          <w:tab w:val="left" w:pos="4594"/>
          <w:tab w:val="left" w:pos="5748"/>
          <w:tab w:val="left" w:pos="6903"/>
          <w:tab w:val="left" w:pos="8059"/>
        </w:tabs>
        <w:kinsoku/>
        <w:wordWrap/>
        <w:overflowPunct/>
        <w:topLinePunct w:val="0"/>
        <w:autoSpaceDE/>
        <w:autoSpaceDN/>
        <w:bidi w:val="0"/>
        <w:adjustRightInd w:val="0"/>
        <w:snapToGrid w:val="0"/>
        <w:spacing w:line="360" w:lineRule="auto"/>
        <w:ind w:left="0" w:right="0" w:firstLine="480" w:firstLineChars="200"/>
        <w:jc w:val="both"/>
        <w:textAlignment w:val="auto"/>
        <w:rPr>
          <w:rFonts w:hint="default" w:asciiTheme="minorEastAsia" w:hAnsiTheme="minorEastAsia" w:eastAsiaTheme="minorEastAsia" w:cstheme="minorEastAsia"/>
          <w:color w:val="auto"/>
          <w:kern w:val="0"/>
          <w:sz w:val="24"/>
          <w:szCs w:val="24"/>
          <w:highlight w:val="none"/>
          <w:u w:val="none"/>
          <w:lang w:val="en-US" w:eastAsia="zh-CN"/>
        </w:rPr>
      </w:pPr>
      <w:r>
        <w:rPr>
          <w:rFonts w:hint="eastAsia" w:asciiTheme="minorEastAsia" w:hAnsiTheme="minorEastAsia" w:eastAsiaTheme="minorEastAsia" w:cstheme="minorEastAsia"/>
          <w:color w:val="auto"/>
          <w:kern w:val="0"/>
          <w:sz w:val="24"/>
          <w:szCs w:val="24"/>
          <w:highlight w:val="none"/>
          <w:u w:val="none"/>
          <w:lang w:val="en-US" w:eastAsia="zh-CN"/>
        </w:rPr>
        <w:t>4.3其他要求：</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5.投标文件的递交</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投标文件上传的截止时间（投标截止时间，下同）</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年</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月</w:t>
      </w:r>
      <w:r>
        <w:rPr>
          <w:rFonts w:hint="eastAsia" w:asciiTheme="minorEastAsia" w:hAnsiTheme="minorEastAsia" w:eastAsiaTheme="minorEastAsia" w:cstheme="minorEastAsia"/>
          <w:color w:val="auto"/>
          <w:kern w:val="0"/>
          <w:sz w:val="24"/>
          <w:szCs w:val="24"/>
          <w:highlight w:val="none"/>
          <w:lang w:val="en-US" w:eastAsia="en-US" w:bidi="ar-SA"/>
        </w:rPr>
        <w:fldChar w:fldCharType="begin"/>
      </w:r>
      <w:r>
        <w:rPr>
          <w:rFonts w:hint="eastAsia" w:asciiTheme="minorEastAsia" w:hAnsiTheme="minorEastAsia" w:eastAsiaTheme="minorEastAsia" w:cstheme="minorEastAsia"/>
          <w:color w:val="auto"/>
          <w:kern w:val="0"/>
          <w:sz w:val="24"/>
          <w:szCs w:val="24"/>
          <w:highlight w:val="non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日</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begin"/>
      </w:r>
      <w:r>
        <w:rPr>
          <w:rFonts w:hint="eastAsia" w:asciiTheme="minorEastAsia" w:hAnsiTheme="minorEastAsia" w:eastAsiaTheme="minorEastAsia" w:cstheme="minorEastAsia"/>
          <w:color w:val="auto"/>
          <w:kern w:val="0"/>
          <w:sz w:val="24"/>
          <w:szCs w:val="24"/>
          <w:highlight w:val="none"/>
          <w:u w:val="single"/>
          <w:lang w:val="en-US" w:eastAsia="en-US" w:bidi="ar-SA"/>
        </w:rPr>
        <w:instrText xml:space="preserve"> AUTOTEXT  input76 \* MERGEFORMAT </w:instrTex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separate"/>
      </w:r>
      <w:r>
        <w:rPr>
          <w:rFonts w:hint="eastAsia" w:asciiTheme="minorEastAsia" w:hAnsiTheme="minorEastAsia" w:eastAsiaTheme="minorEastAsia" w:cstheme="minorEastAsia"/>
          <w:color w:val="auto"/>
          <w:kern w:val="0"/>
          <w:sz w:val="24"/>
          <w:szCs w:val="24"/>
          <w:highlight w:val="none"/>
          <w:u w:val="single"/>
          <w:lang w:val="en-US" w:eastAsia="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en-US" w:bidi="ar-SA"/>
        </w:rPr>
        <w:fldChar w:fldCharType="end"/>
      </w:r>
      <w:r>
        <w:rPr>
          <w:rFonts w:hint="eastAsia" w:asciiTheme="minorEastAsia" w:hAnsiTheme="minorEastAsia" w:eastAsiaTheme="minorEastAsia" w:cstheme="minorEastAsia"/>
          <w:color w:val="auto"/>
          <w:kern w:val="0"/>
          <w:sz w:val="24"/>
          <w:szCs w:val="24"/>
          <w:highlight w:val="none"/>
          <w:lang w:val="en-US" w:eastAsia="en-US" w:bidi="ar-SA"/>
        </w:rPr>
        <w:t>时00分</w:t>
      </w:r>
      <w:r>
        <w:rPr>
          <w:rFonts w:hint="eastAsia" w:asciiTheme="minorEastAsia" w:hAnsiTheme="minorEastAsia" w:eastAsiaTheme="minorEastAsia" w:cstheme="minorEastAsia"/>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 xml:space="preserve"> 递交方式</w:t>
      </w:r>
      <w:r>
        <w:rPr>
          <w:rFonts w:hint="eastAsia" w:asciiTheme="minorEastAsia" w:hAnsiTheme="minorEastAsia" w:eastAsiaTheme="minorEastAsia" w:cstheme="minorEastAsia"/>
          <w:color w:val="auto"/>
          <w:kern w:val="0"/>
          <w:sz w:val="24"/>
          <w:szCs w:val="24"/>
          <w:highlight w:val="none"/>
        </w:rPr>
        <w:t>：网上上传网址为</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1"/>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r>
        <w:rPr>
          <w:rFonts w:hint="eastAsia" w:asciiTheme="minorEastAsia" w:hAnsiTheme="minorEastAsia" w:eastAsiaTheme="minorEastAsia" w:cstheme="minorEastAsia"/>
          <w:color w:val="auto"/>
          <w:kern w:val="0"/>
          <w:sz w:val="24"/>
          <w:szCs w:val="24"/>
          <w:highlight w:val="none"/>
        </w:rPr>
        <w:t>，投标人须在投标截止时间前完成所有投标文件的上传。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 xml:space="preserve"> </w:t>
      </w:r>
      <w:r>
        <w:rPr>
          <w:rFonts w:hint="eastAsia" w:asciiTheme="minorEastAsia" w:hAnsiTheme="minorEastAsia" w:eastAsiaTheme="minorEastAsia" w:cstheme="minorEastAsia"/>
          <w:color w:val="auto"/>
          <w:kern w:val="0"/>
          <w:sz w:val="24"/>
          <w:szCs w:val="24"/>
          <w:highlight w:val="none"/>
        </w:rPr>
        <w:t>其他要求</w:t>
      </w:r>
      <w:r>
        <w:rPr>
          <w:rFonts w:hint="eastAsia" w:asciiTheme="minorEastAsia" w:hAnsiTheme="minorEastAsia" w:eastAsiaTheme="minorEastAsia" w:cstheme="minorEastAsia"/>
          <w:color w:val="auto"/>
          <w:ker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6.开标时间及地点</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Chars="0" w:right="0" w:righ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6.1开标时间：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年</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月</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日</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时</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分（北京时间）</w:t>
      </w:r>
    </w:p>
    <w:p>
      <w:pPr>
        <w:bidi w:val="0"/>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6.2 开标地点：</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val="0"/>
          <w:color w:val="auto"/>
          <w:sz w:val="24"/>
          <w:szCs w:val="24"/>
          <w:highlight w:val="none"/>
          <w:u w:val="none"/>
          <w:lang w:val="en-US" w:eastAsia="zh-CN"/>
        </w:rPr>
        <w:t>（公共资源交易中心）</w:t>
      </w:r>
    </w:p>
    <w:p>
      <w:pPr>
        <w:bidi w:val="0"/>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6.3 开标方式：网上智能开标。</w:t>
      </w:r>
    </w:p>
    <w:p>
      <w:pPr>
        <w:bidi w:val="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u w:val="none"/>
          <w:lang w:val="en-US" w:eastAsia="zh-CN"/>
        </w:rPr>
        <w:t>6.4 开标网址：</w:t>
      </w:r>
      <w:r>
        <w:rPr>
          <w:rFonts w:hint="eastAsia" w:asciiTheme="minorEastAsia" w:hAnsiTheme="minorEastAsia" w:eastAsiaTheme="minorEastAsia" w:cstheme="minorEastAsia"/>
          <w:color w:val="auto"/>
          <w:sz w:val="24"/>
          <w:szCs w:val="24"/>
          <w:highlight w:val="none"/>
          <w:u w:val="single"/>
        </w:rPr>
        <w:fldChar w:fldCharType="begin"/>
      </w:r>
      <w:r>
        <w:rPr>
          <w:rFonts w:hint="eastAsia" w:asciiTheme="minorEastAsia" w:hAnsiTheme="minorEastAsia" w:eastAsiaTheme="minorEastAsia" w:cstheme="minorEastAsia"/>
          <w:color w:val="auto"/>
          <w:sz w:val="24"/>
          <w:szCs w:val="24"/>
          <w:highlight w:val="none"/>
          <w:u w:val="single"/>
        </w:rPr>
        <w:instrText xml:space="preserve"> HYPERLINK "http://ggzy.yn.gov.cn/#/homePage" </w:instrText>
      </w:r>
      <w:r>
        <w:rPr>
          <w:rFonts w:hint="eastAsia" w:asciiTheme="minorEastAsia" w:hAnsiTheme="minorEastAsia" w:eastAsiaTheme="minorEastAsia" w:cstheme="minorEastAsia"/>
          <w:color w:val="auto"/>
          <w:sz w:val="24"/>
          <w:szCs w:val="24"/>
          <w:highlight w:val="none"/>
          <w:u w:val="single"/>
        </w:rPr>
        <w:fldChar w:fldCharType="separate"/>
      </w:r>
      <w:r>
        <w:rPr>
          <w:rStyle w:val="21"/>
          <w:rFonts w:hint="eastAsia" w:asciiTheme="minorEastAsia" w:hAnsiTheme="minorEastAsia" w:eastAsiaTheme="minorEastAsia" w:cstheme="minorEastAsia"/>
          <w:color w:val="auto"/>
          <w:sz w:val="24"/>
          <w:szCs w:val="24"/>
          <w:highlight w:val="none"/>
        </w:rPr>
        <w:t>http://ggzy.yn.gov.cn/#/homePage</w:t>
      </w:r>
      <w:r>
        <w:rPr>
          <w:rFonts w:hint="eastAsia" w:asciiTheme="minorEastAsia" w:hAnsiTheme="minorEastAsia" w:eastAsiaTheme="minorEastAsia" w:cstheme="minorEastAsia"/>
          <w:color w:val="auto"/>
          <w:sz w:val="24"/>
          <w:szCs w:val="24"/>
          <w:highlight w:val="none"/>
          <w:u w:val="single"/>
        </w:rPr>
        <w:fldChar w:fldCharType="end"/>
      </w:r>
    </w:p>
    <w:p>
      <w:pPr>
        <w:bidi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）线上</w:t>
      </w:r>
      <w:r>
        <w:rPr>
          <w:rFonts w:hint="eastAsia" w:asciiTheme="minorEastAsia" w:hAnsiTheme="minorEastAsia" w:eastAsiaTheme="minorEastAsia" w:cstheme="minorEastAsia"/>
          <w:color w:val="auto"/>
          <w:sz w:val="24"/>
          <w:szCs w:val="24"/>
          <w:highlight w:val="none"/>
        </w:rPr>
        <w:t>智能开标的操作流程详见《云南省公共资源交易电子化平台智能开标系统操作手册》。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投标人提前熟悉智能开标的相关操作。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须在招标文件规定的投标截止时间前登录“网上开标室”，根据网上远程解密、开标的要求，在规定的时间完成在线签到、解密、开标一览表确认等操作。若投标人未在规定时间完成相关操作，则视为撤销其投标文件，不再进入评标阶段。</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AUTOTEXT  input493 \* MERGEFORMAT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投标人无需到现场参加开标会议。</w:t>
      </w:r>
      <w:r>
        <w:rPr>
          <w:rFonts w:hint="eastAsia" w:asciiTheme="minorEastAsia" w:hAnsiTheme="minorEastAsia" w:eastAsiaTheme="minorEastAsia" w:cstheme="minorEastAsia"/>
          <w:color w:val="auto"/>
          <w:sz w:val="24"/>
          <w:szCs w:val="24"/>
          <w:highlight w:val="none"/>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1"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bidi="ar-SA"/>
        </w:rPr>
        <w:t>7</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评标办法</w:t>
      </w:r>
    </w:p>
    <w:p>
      <w:pPr>
        <w:pStyle w:val="9"/>
        <w:keepNext w:val="0"/>
        <w:keepLines w:val="0"/>
        <w:pageBreakBefore w:val="0"/>
        <w:widowControl w:val="0"/>
        <w:numPr>
          <w:ilvl w:val="0"/>
          <w:numId w:val="0"/>
        </w:numPr>
        <w:tabs>
          <w:tab w:val="left" w:pos="1368"/>
        </w:tabs>
        <w:kinsoku/>
        <w:wordWrap/>
        <w:overflowPunct/>
        <w:topLinePunct w:val="0"/>
        <w:autoSpaceDE/>
        <w:autoSpaceDN/>
        <w:bidi w:val="0"/>
        <w:adjustRightInd/>
        <w:snapToGrid/>
        <w:spacing w:line="360" w:lineRule="auto"/>
        <w:ind w:leftChars="200" w:right="0" w:rightChars="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bidi="ar-SA"/>
        </w:rPr>
        <w:t>本项目评标办法采用</w:t>
      </w:r>
      <w:r>
        <w:rPr>
          <w:rFonts w:hint="eastAsia" w:asciiTheme="minorEastAsia" w:hAnsiTheme="minorEastAsia" w:eastAsiaTheme="minorEastAsia" w:cstheme="minorEastAsia"/>
          <w:b w:val="0"/>
          <w:bCs w:val="0"/>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color w:val="auto"/>
          <w:kern w:val="2"/>
          <w:sz w:val="24"/>
          <w:szCs w:val="24"/>
          <w:highlight w:val="none"/>
          <w:lang w:val="en-US" w:eastAsia="zh-CN" w:bidi="ar-SA"/>
        </w:rPr>
        <w:t>（请在本标准文件提供的评标办法中选择一种）。</w:t>
      </w:r>
    </w:p>
    <w:p>
      <w:pPr>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0" w:leftChars="0" w:right="0" w:rightChars="0" w:firstLine="481"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bidi="ar-SA"/>
        </w:rPr>
        <w:t>8</w:t>
      </w:r>
      <w:r>
        <w:rPr>
          <w:rFonts w:hint="default" w:asciiTheme="minorEastAsia" w:hAnsiTheme="minorEastAsia" w:eastAsiaTheme="minorEastAsia" w:cstheme="minorEastAsia"/>
          <w:b/>
          <w:bCs/>
          <w:color w:val="auto"/>
          <w:sz w:val="24"/>
          <w:szCs w:val="24"/>
          <w:highlight w:val="none"/>
          <w:lang w:val="en-US" w:eastAsia="zh-CN" w:bidi="ar-SA"/>
        </w:rPr>
        <w:t>.</w:t>
      </w:r>
      <w:r>
        <w:rPr>
          <w:rFonts w:hint="eastAsia" w:asciiTheme="minorEastAsia" w:hAnsiTheme="minorEastAsia" w:eastAsiaTheme="minorEastAsia" w:cstheme="minorEastAsia"/>
          <w:b/>
          <w:bCs/>
          <w:color w:val="auto"/>
          <w:sz w:val="24"/>
          <w:szCs w:val="24"/>
          <w:highlight w:val="none"/>
          <w:lang w:val="en-US" w:eastAsia="zh-CN"/>
        </w:rPr>
        <w:t xml:space="preserve">联系方式   </w:t>
      </w:r>
      <w:r>
        <w:rPr>
          <w:rFonts w:hint="eastAsia" w:asciiTheme="minorEastAsia" w:hAnsiTheme="minorEastAsia" w:eastAsiaTheme="minorEastAsia" w:cstheme="minorEastAsia"/>
          <w:b w:val="0"/>
          <w:bCs w:val="0"/>
          <w:color w:val="auto"/>
          <w:sz w:val="24"/>
          <w:szCs w:val="24"/>
          <w:highlight w:val="none"/>
          <w:lang w:val="en-US" w:eastAsia="zh-CN"/>
        </w:rPr>
        <w:t xml:space="preserve"> </w:t>
      </w:r>
    </w:p>
    <w:p>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地</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邮</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编：</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项目负责人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真：</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none"/>
          <w:lang w:val="en-US" w:eastAsia="zh-CN"/>
        </w:rPr>
        <w:t xml:space="preserve">   </w:t>
      </w:r>
      <w:r>
        <w:rPr>
          <w:rFonts w:hint="eastAsia" w:asciiTheme="minorEastAsia" w:hAnsiTheme="minorEastAsia" w:eastAsiaTheme="minorEastAsia" w:cstheme="minorEastAsia"/>
          <w:color w:val="auto"/>
          <w:sz w:val="24"/>
          <w:szCs w:val="24"/>
          <w:highlight w:val="none"/>
        </w:rPr>
        <w:t>电子邮件：</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lang w:val="en-US" w:eastAsia="zh-CN"/>
        </w:rPr>
        <w:t>行政监督单位：</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bidi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监</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督</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pPr>
        <w:spacing w:before="0" w:line="240" w:lineRule="auto"/>
        <w:rPr>
          <w:rFonts w:hint="eastAsia" w:asciiTheme="minorEastAsia" w:hAnsiTheme="minorEastAsia" w:eastAsiaTheme="minorEastAsia" w:cstheme="minorEastAsia"/>
          <w:color w:val="auto"/>
          <w:sz w:val="24"/>
          <w:szCs w:val="24"/>
          <w:highlight w:val="none"/>
        </w:rPr>
      </w:pPr>
    </w:p>
    <w:p>
      <w:pPr>
        <w:spacing w:before="0" w:line="240" w:lineRule="auto"/>
        <w:rPr>
          <w:rFonts w:hint="eastAsia" w:asciiTheme="minorEastAsia" w:hAnsiTheme="minorEastAsia" w:eastAsiaTheme="minorEastAsia" w:cstheme="minorEastAsia"/>
          <w:color w:val="auto"/>
          <w:sz w:val="24"/>
          <w:szCs w:val="24"/>
          <w:highlight w:val="none"/>
        </w:rPr>
      </w:pPr>
    </w:p>
    <w:p>
      <w:pPr>
        <w:spacing w:before="0" w:line="240" w:lineRule="auto"/>
        <w:rPr>
          <w:rFonts w:hint="eastAsia" w:asciiTheme="minorEastAsia" w:hAnsiTheme="minorEastAsia" w:eastAsiaTheme="minorEastAsia" w:cstheme="minorEastAsia"/>
          <w:color w:val="auto"/>
          <w:sz w:val="24"/>
          <w:szCs w:val="24"/>
          <w:highlight w:val="none"/>
        </w:rPr>
      </w:pPr>
    </w:p>
    <w:p>
      <w:pPr>
        <w:spacing w:before="11" w:line="240" w:lineRule="auto"/>
        <w:rPr>
          <w:rFonts w:hint="eastAsia" w:asciiTheme="minorEastAsia" w:hAnsiTheme="minorEastAsia" w:eastAsiaTheme="minorEastAsia" w:cs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pacing w:val="-1"/>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1"/>
          <w:w w:val="95"/>
          <w:sz w:val="24"/>
          <w:szCs w:val="24"/>
          <w:highlight w:val="none"/>
        </w:rPr>
        <w:t>年</w:t>
      </w:r>
      <w:r>
        <w:rPr>
          <w:rFonts w:hint="eastAsia" w:asciiTheme="minorEastAsia" w:hAnsiTheme="minorEastAsia" w:eastAsiaTheme="minorEastAsia" w:cstheme="minorEastAsia"/>
          <w:color w:val="auto"/>
          <w:spacing w:val="-1"/>
          <w:w w:val="95"/>
          <w:sz w:val="24"/>
          <w:szCs w:val="24"/>
          <w:highlight w:val="none"/>
          <w:u w:val="single" w:color="000000"/>
        </w:rPr>
        <w:tab/>
      </w:r>
      <w:r>
        <w:rPr>
          <w:rFonts w:hint="eastAsia" w:asciiTheme="minorEastAsia" w:hAnsiTheme="minorEastAsia" w:eastAsiaTheme="minorEastAsia" w:cstheme="minorEastAsia"/>
          <w:color w:val="auto"/>
          <w:spacing w:val="2"/>
          <w:w w:val="95"/>
          <w:sz w:val="24"/>
          <w:szCs w:val="24"/>
          <w:highlight w:val="none"/>
        </w:rPr>
        <w:t>月</w:t>
      </w:r>
      <w:r>
        <w:rPr>
          <w:rFonts w:hint="eastAsia" w:asciiTheme="minorEastAsia" w:hAnsiTheme="minorEastAsia" w:eastAsiaTheme="minorEastAsia" w:cstheme="minorEastAsia"/>
          <w:color w:val="auto"/>
          <w:spacing w:val="2"/>
          <w:w w:val="95"/>
          <w:sz w:val="24"/>
          <w:szCs w:val="24"/>
          <w:highlight w:val="none"/>
          <w:u w:val="single"/>
          <w:lang w:val="en-US" w:eastAsia="zh-CN"/>
        </w:rPr>
        <w:t xml:space="preserve">     </w:t>
      </w:r>
      <w:r>
        <w:rPr>
          <w:rFonts w:hint="eastAsia" w:asciiTheme="minorEastAsia" w:hAnsiTheme="minorEastAsia" w:eastAsiaTheme="minorEastAsia" w:cstheme="minorEastAsia"/>
          <w:color w:val="auto"/>
          <w:spacing w:val="2"/>
          <w:w w:val="95"/>
          <w:sz w:val="24"/>
          <w:szCs w:val="24"/>
          <w:highlight w:val="none"/>
          <w:u w:val="none"/>
          <w:lang w:val="en-US" w:eastAsia="zh-CN"/>
        </w:rPr>
        <w:t>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ajorEastAsia" w:hAnsiTheme="majorEastAsia" w:eastAsiaTheme="majorEastAsia" w:cstheme="majorEastAsia"/>
          <w:b/>
          <w:bCs/>
          <w:color w:val="auto"/>
          <w:sz w:val="32"/>
          <w:szCs w:val="32"/>
          <w:highlight w:val="none"/>
        </w:rPr>
      </w:pPr>
    </w:p>
    <w:p>
      <w:pP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32"/>
          <w:szCs w:val="32"/>
          <w:highlight w:val="none"/>
        </w:rPr>
      </w:pPr>
      <w:bookmarkStart w:id="28" w:name="_Toc25027"/>
      <w:bookmarkStart w:id="29" w:name="_Toc32403"/>
      <w:r>
        <w:rPr>
          <w:rFonts w:hint="eastAsia" w:asciiTheme="majorEastAsia" w:hAnsiTheme="majorEastAsia" w:eastAsiaTheme="majorEastAsia" w:cstheme="majorEastAsia"/>
          <w:b/>
          <w:bCs/>
          <w:color w:val="auto"/>
          <w:sz w:val="32"/>
          <w:szCs w:val="32"/>
          <w:highlight w:val="none"/>
        </w:rPr>
        <w:t>第二章</w:t>
      </w:r>
      <w:r>
        <w:rPr>
          <w:rFonts w:hint="eastAsia" w:asciiTheme="majorEastAsia" w:hAnsiTheme="majorEastAsia" w:eastAsiaTheme="majorEastAsia" w:cstheme="majorEastAsia"/>
          <w:b/>
          <w:bCs/>
          <w:color w:val="auto"/>
          <w:sz w:val="32"/>
          <w:szCs w:val="32"/>
          <w:highlight w:val="none"/>
          <w:lang w:val="en-US" w:eastAsia="zh-CN"/>
        </w:rPr>
        <w:t xml:space="preserve">  </w:t>
      </w:r>
      <w:r>
        <w:rPr>
          <w:rFonts w:hint="eastAsia" w:asciiTheme="majorEastAsia" w:hAnsiTheme="majorEastAsia" w:eastAsiaTheme="majorEastAsia" w:cstheme="majorEastAsia"/>
          <w:b/>
          <w:bCs/>
          <w:color w:val="auto"/>
          <w:sz w:val="32"/>
          <w:szCs w:val="32"/>
          <w:highlight w:val="none"/>
        </w:rPr>
        <w:t>投标人须知</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1"/>
        <w:rPr>
          <w:rFonts w:ascii="黑体" w:hAnsi="黑体" w:eastAsia="黑体" w:cs="黑体"/>
          <w:b w:val="0"/>
          <w:bCs w:val="0"/>
          <w:color w:val="auto"/>
          <w:sz w:val="32"/>
          <w:szCs w:val="32"/>
          <w:highlight w:val="none"/>
        </w:rPr>
      </w:pPr>
      <w:bookmarkStart w:id="30" w:name="_bookmark24"/>
      <w:bookmarkEnd w:id="30"/>
      <w:bookmarkStart w:id="31" w:name="投标人须知前附表"/>
      <w:bookmarkEnd w:id="31"/>
      <w:bookmarkStart w:id="32" w:name="_Toc6568"/>
      <w:bookmarkStart w:id="33" w:name="_Toc31862"/>
      <w:r>
        <w:rPr>
          <w:rFonts w:ascii="黑体" w:hAnsi="黑体" w:eastAsia="黑体" w:cs="黑体"/>
          <w:b w:val="0"/>
          <w:bCs w:val="0"/>
          <w:color w:val="auto"/>
          <w:sz w:val="32"/>
          <w:szCs w:val="32"/>
          <w:highlight w:val="none"/>
        </w:rPr>
        <w:t>投标人须知前附表</w:t>
      </w:r>
      <w:bookmarkEnd w:id="32"/>
      <w:bookmarkEnd w:id="33"/>
    </w:p>
    <w:tbl>
      <w:tblPr>
        <w:tblStyle w:val="19"/>
        <w:tblW w:w="0" w:type="auto"/>
        <w:jc w:val="center"/>
        <w:tblLayout w:type="fixed"/>
        <w:tblCellMar>
          <w:top w:w="0" w:type="dxa"/>
          <w:left w:w="0" w:type="dxa"/>
          <w:bottom w:w="0" w:type="dxa"/>
          <w:right w:w="0" w:type="dxa"/>
        </w:tblCellMar>
      </w:tblPr>
      <w:tblGrid>
        <w:gridCol w:w="955"/>
        <w:gridCol w:w="2779"/>
        <w:gridCol w:w="5407"/>
      </w:tblGrid>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条款号</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tabs>
                <w:tab w:val="left" w:pos="1376"/>
                <w:tab w:val="left" w:pos="1798"/>
                <w:tab w:val="left" w:pos="2220"/>
              </w:tabs>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w w:val="95"/>
                <w:sz w:val="21"/>
                <w:szCs w:val="21"/>
                <w:highlight w:val="none"/>
              </w:rPr>
              <w:t>条</w:t>
            </w:r>
            <w:r>
              <w:rPr>
                <w:rFonts w:hint="eastAsia" w:ascii="宋体" w:hAnsi="宋体" w:eastAsia="宋体" w:cs="宋体"/>
                <w:b/>
                <w:bCs/>
                <w:color w:val="auto"/>
                <w:w w:val="95"/>
                <w:sz w:val="21"/>
                <w:szCs w:val="21"/>
                <w:highlight w:val="none"/>
                <w:lang w:val="en-US" w:eastAsia="zh-CN"/>
              </w:rPr>
              <w:t xml:space="preserve">  </w:t>
            </w:r>
            <w:r>
              <w:rPr>
                <w:rFonts w:ascii="宋体" w:hAnsi="宋体" w:eastAsia="宋体" w:cs="宋体"/>
                <w:b/>
                <w:bCs/>
                <w:color w:val="auto"/>
                <w:w w:val="95"/>
                <w:sz w:val="21"/>
                <w:szCs w:val="21"/>
                <w:highlight w:val="none"/>
              </w:rPr>
              <w:t>款</w:t>
            </w:r>
            <w:r>
              <w:rPr>
                <w:rFonts w:hint="eastAsia" w:ascii="宋体" w:hAnsi="宋体" w:eastAsia="宋体" w:cs="宋体"/>
                <w:b/>
                <w:bCs/>
                <w:color w:val="auto"/>
                <w:w w:val="95"/>
                <w:sz w:val="21"/>
                <w:szCs w:val="21"/>
                <w:highlight w:val="none"/>
                <w:lang w:val="en-US" w:eastAsia="zh-CN"/>
              </w:rPr>
              <w:t xml:space="preserve">  </w:t>
            </w:r>
            <w:r>
              <w:rPr>
                <w:rFonts w:ascii="宋体" w:hAnsi="宋体" w:eastAsia="宋体" w:cs="宋体"/>
                <w:b/>
                <w:bCs/>
                <w:color w:val="auto"/>
                <w:w w:val="95"/>
                <w:sz w:val="21"/>
                <w:szCs w:val="21"/>
                <w:highlight w:val="none"/>
              </w:rPr>
              <w:t>名</w:t>
            </w:r>
            <w:r>
              <w:rPr>
                <w:rFonts w:hint="eastAsia" w:ascii="宋体" w:hAnsi="宋体" w:eastAsia="宋体" w:cs="宋体"/>
                <w:b/>
                <w:bCs/>
                <w:color w:val="auto"/>
                <w:w w:val="95"/>
                <w:sz w:val="21"/>
                <w:szCs w:val="21"/>
                <w:highlight w:val="none"/>
                <w:lang w:val="en-US" w:eastAsia="zh-CN"/>
              </w:rPr>
              <w:t xml:space="preserve">  </w:t>
            </w:r>
            <w:r>
              <w:rPr>
                <w:rFonts w:ascii="宋体" w:hAnsi="宋体" w:eastAsia="宋体" w:cs="宋体"/>
                <w:b/>
                <w:bCs/>
                <w:color w:val="auto"/>
                <w:sz w:val="21"/>
                <w:szCs w:val="21"/>
                <w:highlight w:val="none"/>
              </w:rPr>
              <w:t>称</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422"/>
                <w:tab w:val="left" w:pos="845"/>
                <w:tab w:val="left" w:pos="1265"/>
              </w:tabs>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w w:val="95"/>
                <w:sz w:val="21"/>
                <w:szCs w:val="21"/>
                <w:highlight w:val="none"/>
              </w:rPr>
              <w:t>编</w:t>
            </w:r>
            <w:r>
              <w:rPr>
                <w:rFonts w:ascii="宋体" w:hAnsi="宋体" w:eastAsia="宋体" w:cs="宋体"/>
                <w:b/>
                <w:bCs/>
                <w:color w:val="auto"/>
                <w:w w:val="95"/>
                <w:sz w:val="21"/>
                <w:szCs w:val="21"/>
                <w:highlight w:val="none"/>
              </w:rPr>
              <w:tab/>
            </w:r>
            <w:r>
              <w:rPr>
                <w:rFonts w:ascii="宋体" w:hAnsi="宋体" w:eastAsia="宋体" w:cs="宋体"/>
                <w:b/>
                <w:bCs/>
                <w:color w:val="auto"/>
                <w:w w:val="95"/>
                <w:sz w:val="21"/>
                <w:szCs w:val="21"/>
                <w:highlight w:val="none"/>
              </w:rPr>
              <w:t>列</w:t>
            </w:r>
            <w:r>
              <w:rPr>
                <w:rFonts w:ascii="宋体" w:hAnsi="宋体" w:eastAsia="宋体" w:cs="宋体"/>
                <w:b/>
                <w:bCs/>
                <w:color w:val="auto"/>
                <w:w w:val="95"/>
                <w:sz w:val="21"/>
                <w:szCs w:val="21"/>
                <w:highlight w:val="none"/>
              </w:rPr>
              <w:tab/>
            </w:r>
            <w:r>
              <w:rPr>
                <w:rFonts w:ascii="宋体" w:hAnsi="宋体" w:eastAsia="宋体" w:cs="宋体"/>
                <w:b/>
                <w:bCs/>
                <w:color w:val="auto"/>
                <w:w w:val="95"/>
                <w:sz w:val="21"/>
                <w:szCs w:val="21"/>
                <w:highlight w:val="none"/>
              </w:rPr>
              <w:t>内</w:t>
            </w:r>
            <w:r>
              <w:rPr>
                <w:rFonts w:ascii="宋体" w:hAnsi="宋体" w:eastAsia="宋体" w:cs="宋体"/>
                <w:b/>
                <w:bCs/>
                <w:color w:val="auto"/>
                <w:w w:val="95"/>
                <w:sz w:val="21"/>
                <w:szCs w:val="21"/>
                <w:highlight w:val="none"/>
              </w:rPr>
              <w:tab/>
            </w:r>
            <w:r>
              <w:rPr>
                <w:rFonts w:ascii="宋体" w:hAnsi="宋体" w:eastAsia="宋体" w:cs="宋体"/>
                <w:b/>
                <w:bCs/>
                <w:color w:val="auto"/>
                <w:sz w:val="21"/>
                <w:szCs w:val="21"/>
                <w:highlight w:val="none"/>
              </w:rPr>
              <w:t>容</w:t>
            </w:r>
          </w:p>
        </w:tc>
      </w:tr>
      <w:tr>
        <w:tblPrEx>
          <w:tblCellMar>
            <w:top w:w="0" w:type="dxa"/>
            <w:left w:w="0" w:type="dxa"/>
            <w:bottom w:w="0" w:type="dxa"/>
            <w:right w:w="0" w:type="dxa"/>
          </w:tblCellMar>
        </w:tblPrEx>
        <w:trPr>
          <w:trHeight w:val="177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招标人</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称：</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hint="eastAsia" w:ascii="Times New Roman" w:hAnsi="Times New Roman" w:eastAsia="宋体" w:cs="Times New Roman"/>
                <w:color w:val="auto"/>
                <w:sz w:val="21"/>
                <w:szCs w:val="21"/>
                <w:highlight w:val="none"/>
                <w:u w:val="single" w:color="000000"/>
                <w:lang w:val="en-US" w:eastAsia="zh-CN"/>
              </w:rPr>
              <w:t xml:space="preserve">  </w:t>
            </w:r>
          </w:p>
          <w:p>
            <w:pPr>
              <w:pStyle w:val="25"/>
              <w:keepNext w:val="0"/>
              <w:keepLines w:val="0"/>
              <w:pageBreakBefore w:val="0"/>
              <w:widowControl w:val="0"/>
              <w:tabs>
                <w:tab w:val="left" w:pos="2255"/>
                <w:tab w:val="left" w:pos="2446"/>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u w:val="single" w:color="000000"/>
                <w:lang w:val="en-US" w:eastAsia="zh-CN"/>
              </w:rPr>
            </w:pPr>
            <w:r>
              <w:rPr>
                <w:rFonts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址：</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hint="eastAsia" w:ascii="Times New Roman" w:hAnsi="Times New Roman" w:eastAsia="宋体" w:cs="Times New Roman"/>
                <w:color w:val="auto"/>
                <w:sz w:val="21"/>
                <w:szCs w:val="21"/>
                <w:highlight w:val="none"/>
                <w:u w:val="single" w:color="000000"/>
                <w:lang w:val="en-US" w:eastAsia="zh-CN"/>
              </w:rPr>
              <w:t xml:space="preserve">   </w:t>
            </w:r>
          </w:p>
          <w:p>
            <w:pPr>
              <w:pStyle w:val="25"/>
              <w:keepNext w:val="0"/>
              <w:keepLines w:val="0"/>
              <w:pageBreakBefore w:val="0"/>
              <w:widowControl w:val="0"/>
              <w:tabs>
                <w:tab w:val="left" w:pos="2255"/>
                <w:tab w:val="left" w:pos="2446"/>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w w:val="34"/>
                <w:sz w:val="21"/>
                <w:szCs w:val="21"/>
                <w:highlight w:val="none"/>
                <w:u w:val="single" w:color="000000"/>
              </w:rPr>
            </w:pPr>
            <w:r>
              <w:rPr>
                <w:rFonts w:ascii="宋体" w:hAnsi="宋体" w:eastAsia="宋体" w:cs="宋体"/>
                <w:color w:val="auto"/>
                <w:sz w:val="21"/>
                <w:szCs w:val="21"/>
                <w:highlight w:val="none"/>
              </w:rPr>
              <w:t>联系人：</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ascii="Times New Roman" w:hAnsi="Times New Roman" w:eastAsia="Times New Roman" w:cs="Times New Roman"/>
                <w:color w:val="auto"/>
                <w:sz w:val="21"/>
                <w:szCs w:val="21"/>
                <w:highlight w:val="none"/>
                <w:u w:val="single" w:color="000000"/>
              </w:rPr>
              <w:tab/>
            </w:r>
            <w:r>
              <w:rPr>
                <w:rFonts w:ascii="Times New Roman" w:hAnsi="Times New Roman" w:eastAsia="Times New Roman" w:cs="Times New Roman"/>
                <w:color w:val="auto"/>
                <w:w w:val="34"/>
                <w:sz w:val="21"/>
                <w:szCs w:val="21"/>
                <w:highlight w:val="none"/>
                <w:u w:val="single" w:color="000000"/>
              </w:rPr>
              <w:t xml:space="preserve"> </w:t>
            </w:r>
          </w:p>
          <w:p>
            <w:pPr>
              <w:pStyle w:val="25"/>
              <w:keepNext w:val="0"/>
              <w:keepLines w:val="0"/>
              <w:pageBreakBefore w:val="0"/>
              <w:widowControl w:val="0"/>
              <w:tabs>
                <w:tab w:val="left" w:pos="2255"/>
                <w:tab w:val="left" w:pos="2446"/>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电</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话：</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hint="eastAsia" w:ascii="Times New Roman" w:hAnsi="Times New Roman" w:eastAsia="宋体" w:cs="Times New Roman"/>
                <w:color w:val="auto"/>
                <w:sz w:val="21"/>
                <w:szCs w:val="21"/>
                <w:highlight w:val="none"/>
                <w:u w:val="single" w:color="000000"/>
                <w:lang w:val="en-US" w:eastAsia="zh-CN"/>
              </w:rPr>
              <w:t xml:space="preserve">     </w:t>
            </w:r>
          </w:p>
        </w:tc>
      </w:tr>
      <w:tr>
        <w:tblPrEx>
          <w:tblCellMar>
            <w:top w:w="0" w:type="dxa"/>
            <w:left w:w="0" w:type="dxa"/>
            <w:bottom w:w="0" w:type="dxa"/>
            <w:right w:w="0" w:type="dxa"/>
          </w:tblCellMar>
        </w:tblPrEx>
        <w:trPr>
          <w:trHeight w:val="163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1.1.3</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招标代理机构</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2255"/>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名</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称：</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hint="eastAsia" w:ascii="Times New Roman" w:hAnsi="Times New Roman" w:eastAsia="宋体" w:cs="Times New Roman"/>
                <w:color w:val="auto"/>
                <w:sz w:val="21"/>
                <w:szCs w:val="21"/>
                <w:highlight w:val="none"/>
                <w:u w:val="single" w:color="000000"/>
                <w:lang w:val="en-US" w:eastAsia="zh-CN"/>
              </w:rPr>
              <w:t xml:space="preserve">    </w:t>
            </w:r>
          </w:p>
          <w:p>
            <w:pPr>
              <w:pStyle w:val="25"/>
              <w:keepNext w:val="0"/>
              <w:keepLines w:val="0"/>
              <w:pageBreakBefore w:val="0"/>
              <w:widowControl w:val="0"/>
              <w:tabs>
                <w:tab w:val="left" w:pos="2255"/>
                <w:tab w:val="left" w:pos="2446"/>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地</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址：</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hint="eastAsia" w:ascii="Times New Roman" w:hAnsi="Times New Roman" w:eastAsia="宋体" w:cs="Times New Roman"/>
                <w:color w:val="auto"/>
                <w:sz w:val="21"/>
                <w:szCs w:val="21"/>
                <w:highlight w:val="none"/>
                <w:u w:val="single" w:color="000000"/>
                <w:lang w:val="en-US" w:eastAsia="zh-CN"/>
              </w:rPr>
              <w:t xml:space="preserve">    </w:t>
            </w:r>
            <w:r>
              <w:rPr>
                <w:rFonts w:ascii="Times New Roman" w:hAnsi="Times New Roman" w:eastAsia="Times New Roman" w:cs="Times New Roman"/>
                <w:color w:val="auto"/>
                <w:sz w:val="21"/>
                <w:szCs w:val="21"/>
                <w:highlight w:val="none"/>
              </w:rPr>
              <w:t xml:space="preserve"> </w:t>
            </w:r>
          </w:p>
          <w:p>
            <w:pPr>
              <w:pStyle w:val="25"/>
              <w:keepNext w:val="0"/>
              <w:keepLines w:val="0"/>
              <w:pageBreakBefore w:val="0"/>
              <w:widowControl w:val="0"/>
              <w:tabs>
                <w:tab w:val="left" w:pos="2255"/>
                <w:tab w:val="left" w:pos="2446"/>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项目负责人：</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ascii="Times New Roman" w:hAnsi="Times New Roman" w:eastAsia="Times New Roman" w:cs="Times New Roman"/>
                <w:color w:val="auto"/>
                <w:sz w:val="21"/>
                <w:szCs w:val="21"/>
                <w:highlight w:val="none"/>
                <w:u w:val="single" w:color="000000"/>
              </w:rPr>
              <w:tab/>
            </w:r>
            <w:r>
              <w:rPr>
                <w:rFonts w:ascii="Times New Roman" w:hAnsi="Times New Roman" w:eastAsia="Times New Roman" w:cs="Times New Roman"/>
                <w:color w:val="auto"/>
                <w:w w:val="34"/>
                <w:sz w:val="21"/>
                <w:szCs w:val="21"/>
                <w:highlight w:val="none"/>
                <w:u w:val="single" w:color="000000"/>
              </w:rPr>
              <w:t xml:space="preserve"> </w:t>
            </w:r>
            <w:r>
              <w:rPr>
                <w:rFonts w:ascii="Times New Roman" w:hAnsi="Times New Roman" w:eastAsia="Times New Roman" w:cs="Times New Roman"/>
                <w:color w:val="auto"/>
                <w:sz w:val="21"/>
                <w:szCs w:val="21"/>
                <w:highlight w:val="none"/>
              </w:rPr>
              <w:t xml:space="preserve"> </w:t>
            </w:r>
          </w:p>
          <w:p>
            <w:pPr>
              <w:pStyle w:val="25"/>
              <w:keepNext w:val="0"/>
              <w:keepLines w:val="0"/>
              <w:pageBreakBefore w:val="0"/>
              <w:widowControl w:val="0"/>
              <w:tabs>
                <w:tab w:val="left" w:pos="2255"/>
                <w:tab w:val="left" w:pos="2446"/>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imes New Roman" w:hAnsi="Times New Roman" w:eastAsia="宋体" w:cs="Times New Roman"/>
                <w:color w:val="auto"/>
                <w:sz w:val="21"/>
                <w:szCs w:val="21"/>
                <w:highlight w:val="none"/>
                <w:lang w:val="en-US" w:eastAsia="zh-CN"/>
              </w:rPr>
            </w:pPr>
            <w:r>
              <w:rPr>
                <w:rFonts w:ascii="宋体" w:hAnsi="宋体" w:eastAsia="宋体" w:cs="宋体"/>
                <w:color w:val="auto"/>
                <w:sz w:val="21"/>
                <w:szCs w:val="21"/>
                <w:highlight w:val="none"/>
              </w:rPr>
              <w:t>电</w:t>
            </w:r>
            <w:r>
              <w:rPr>
                <w:rFonts w:hint="eastAsia" w:ascii="宋体" w:hAnsi="宋体" w:eastAsia="宋体" w:cs="宋体"/>
                <w:color w:val="auto"/>
                <w:sz w:val="21"/>
                <w:szCs w:val="21"/>
                <w:highlight w:val="none"/>
                <w:lang w:val="en-US" w:eastAsia="zh-CN"/>
              </w:rPr>
              <w:t xml:space="preserve">    </w:t>
            </w:r>
            <w:r>
              <w:rPr>
                <w:rFonts w:ascii="宋体" w:hAnsi="宋体" w:eastAsia="宋体" w:cs="宋体"/>
                <w:color w:val="auto"/>
                <w:sz w:val="21"/>
                <w:szCs w:val="21"/>
                <w:highlight w:val="none"/>
              </w:rPr>
              <w:t>话：</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hint="eastAsia" w:ascii="Times New Roman" w:hAnsi="Times New Roman" w:eastAsia="宋体" w:cs="Times New Roman"/>
                <w:color w:val="auto"/>
                <w:sz w:val="21"/>
                <w:szCs w:val="21"/>
                <w:highlight w:val="none"/>
                <w:u w:val="single" w:color="000000"/>
                <w:lang w:val="en-US" w:eastAsia="zh-CN"/>
              </w:rPr>
              <w:t xml:space="preserve">    </w:t>
            </w: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1.1.4</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项目名称</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1.1.5</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建设地点</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1.2.1</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资金来源</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tblPrEx>
          <w:tblCellMar>
            <w:top w:w="0" w:type="dxa"/>
            <w:left w:w="0" w:type="dxa"/>
            <w:bottom w:w="0" w:type="dxa"/>
            <w:right w:w="0" w:type="dxa"/>
          </w:tblCellMar>
        </w:tblPrEx>
        <w:trPr>
          <w:trHeight w:val="40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1.2.2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出资比例</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tblPrEx>
          <w:tblCellMar>
            <w:top w:w="0" w:type="dxa"/>
            <w:left w:w="0" w:type="dxa"/>
            <w:bottom w:w="0" w:type="dxa"/>
            <w:right w:w="0" w:type="dxa"/>
          </w:tblCellMar>
        </w:tblPrEx>
        <w:trPr>
          <w:trHeight w:val="405"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1.2.3</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资金落实情况</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1624"/>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p>
        </w:tc>
      </w:tr>
      <w:tr>
        <w:tblPrEx>
          <w:tblCellMar>
            <w:top w:w="0" w:type="dxa"/>
            <w:left w:w="0" w:type="dxa"/>
            <w:bottom w:w="0" w:type="dxa"/>
            <w:right w:w="0" w:type="dxa"/>
          </w:tblCellMar>
        </w:tblPrEx>
        <w:trPr>
          <w:trHeight w:val="62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1.3.1</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招标范围</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color w:val="auto"/>
                <w:sz w:val="2"/>
                <w:szCs w:val="2"/>
                <w:highlight w:val="none"/>
              </w:rPr>
            </w:pPr>
          </w:p>
        </w:tc>
      </w:tr>
      <w:tr>
        <w:tblPrEx>
          <w:tblCellMar>
            <w:top w:w="0" w:type="dxa"/>
            <w:left w:w="0" w:type="dxa"/>
            <w:bottom w:w="0" w:type="dxa"/>
            <w:right w:w="0" w:type="dxa"/>
          </w:tblCellMar>
        </w:tblPrEx>
        <w:trPr>
          <w:trHeight w:val="84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1.3.2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计划工期</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1992"/>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计划工期：</w:t>
            </w:r>
            <w:r>
              <w:rPr>
                <w:rFonts w:hint="eastAsia" w:ascii="宋体" w:hAnsi="宋体" w:eastAsia="宋体" w:cs="宋体"/>
                <w:color w:val="auto"/>
                <w:w w:val="95"/>
                <w:sz w:val="21"/>
                <w:szCs w:val="21"/>
                <w:highlight w:val="none"/>
                <w:u w:val="single" w:color="000000"/>
              </w:rPr>
              <w:tab/>
            </w:r>
            <w:r>
              <w:rPr>
                <w:rFonts w:hint="eastAsia" w:ascii="宋体" w:hAnsi="宋体" w:eastAsia="宋体" w:cs="宋体"/>
                <w:color w:val="auto"/>
                <w:sz w:val="21"/>
                <w:szCs w:val="21"/>
                <w:highlight w:val="none"/>
              </w:rPr>
              <w:t>日历天</w:t>
            </w:r>
          </w:p>
          <w:p>
            <w:pPr>
              <w:pStyle w:val="25"/>
              <w:keepNext w:val="0"/>
              <w:keepLines w:val="0"/>
              <w:pageBreakBefore w:val="0"/>
              <w:widowControl w:val="0"/>
              <w:tabs>
                <w:tab w:val="left" w:pos="2097"/>
                <w:tab w:val="left" w:pos="2937"/>
                <w:tab w:val="left" w:pos="3568"/>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计划开工日期：</w:t>
            </w:r>
            <w:r>
              <w:rPr>
                <w:rFonts w:hint="eastAsia" w:ascii="宋体" w:hAnsi="宋体" w:eastAsia="宋体" w:cs="宋体"/>
                <w:color w:val="auto"/>
                <w:w w:val="95"/>
                <w:sz w:val="21"/>
                <w:szCs w:val="21"/>
                <w:highlight w:val="none"/>
                <w:u w:val="single" w:color="000000"/>
              </w:rPr>
              <w:tab/>
            </w:r>
            <w:r>
              <w:rPr>
                <w:rFonts w:hint="eastAsia" w:ascii="宋体" w:hAnsi="宋体" w:eastAsia="宋体" w:cs="宋体"/>
                <w:color w:val="auto"/>
                <w:w w:val="95"/>
                <w:sz w:val="21"/>
                <w:szCs w:val="21"/>
                <w:highlight w:val="none"/>
              </w:rPr>
              <w:t>年</w:t>
            </w:r>
            <w:r>
              <w:rPr>
                <w:rFonts w:hint="eastAsia" w:ascii="宋体" w:hAnsi="宋体" w:eastAsia="宋体" w:cs="宋体"/>
                <w:color w:val="auto"/>
                <w:w w:val="95"/>
                <w:sz w:val="21"/>
                <w:szCs w:val="21"/>
                <w:highlight w:val="none"/>
                <w:u w:val="single" w:color="000000"/>
              </w:rPr>
              <w:tab/>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color="000000"/>
              </w:rPr>
              <w:tab/>
            </w:r>
            <w:r>
              <w:rPr>
                <w:rFonts w:hint="eastAsia" w:ascii="宋体" w:hAnsi="宋体" w:eastAsia="宋体" w:cs="宋体"/>
                <w:color w:val="auto"/>
                <w:sz w:val="21"/>
                <w:szCs w:val="21"/>
                <w:highlight w:val="none"/>
              </w:rPr>
              <w:t>日</w:t>
            </w:r>
          </w:p>
          <w:p>
            <w:pPr>
              <w:pStyle w:val="25"/>
              <w:keepNext w:val="0"/>
              <w:keepLines w:val="0"/>
              <w:pageBreakBefore w:val="0"/>
              <w:widowControl w:val="0"/>
              <w:tabs>
                <w:tab w:val="left" w:pos="2097"/>
                <w:tab w:val="left" w:pos="2937"/>
                <w:tab w:val="left" w:pos="3568"/>
              </w:tabs>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w w:val="95"/>
                <w:sz w:val="21"/>
                <w:szCs w:val="21"/>
                <w:highlight w:val="none"/>
              </w:rPr>
              <w:t>计划竣工日期：</w:t>
            </w:r>
            <w:r>
              <w:rPr>
                <w:rFonts w:ascii="Times New Roman" w:hAnsi="Times New Roman" w:eastAsia="Times New Roman" w:cs="Times New Roman"/>
                <w:color w:val="auto"/>
                <w:w w:val="95"/>
                <w:sz w:val="21"/>
                <w:szCs w:val="21"/>
                <w:highlight w:val="none"/>
                <w:u w:val="single" w:color="000000"/>
              </w:rPr>
              <w:tab/>
            </w:r>
            <w:r>
              <w:rPr>
                <w:rFonts w:ascii="宋体" w:hAnsi="宋体" w:eastAsia="宋体" w:cs="宋体"/>
                <w:color w:val="auto"/>
                <w:w w:val="95"/>
                <w:sz w:val="21"/>
                <w:szCs w:val="21"/>
                <w:highlight w:val="none"/>
              </w:rPr>
              <w:t>年</w:t>
            </w:r>
            <w:r>
              <w:rPr>
                <w:rFonts w:ascii="Times New Roman" w:hAnsi="Times New Roman" w:eastAsia="Times New Roman" w:cs="Times New Roman"/>
                <w:color w:val="auto"/>
                <w:w w:val="95"/>
                <w:sz w:val="21"/>
                <w:szCs w:val="21"/>
                <w:highlight w:val="none"/>
                <w:u w:val="single" w:color="000000"/>
              </w:rPr>
              <w:tab/>
            </w:r>
            <w:r>
              <w:rPr>
                <w:rFonts w:ascii="宋体" w:hAnsi="宋体" w:eastAsia="宋体" w:cs="宋体"/>
                <w:color w:val="auto"/>
                <w:sz w:val="21"/>
                <w:szCs w:val="21"/>
                <w:highlight w:val="none"/>
              </w:rPr>
              <w:t>月</w:t>
            </w:r>
            <w:r>
              <w:rPr>
                <w:rFonts w:ascii="Times New Roman" w:hAnsi="Times New Roman" w:eastAsia="Times New Roman" w:cs="Times New Roman"/>
                <w:color w:val="auto"/>
                <w:sz w:val="21"/>
                <w:szCs w:val="21"/>
                <w:highlight w:val="none"/>
                <w:u w:val="single" w:color="000000"/>
              </w:rPr>
              <w:tab/>
            </w:r>
            <w:r>
              <w:rPr>
                <w:rFonts w:ascii="宋体" w:hAnsi="宋体" w:eastAsia="宋体" w:cs="宋体"/>
                <w:color w:val="auto"/>
                <w:sz w:val="21"/>
                <w:szCs w:val="21"/>
                <w:highlight w:val="none"/>
              </w:rPr>
              <w:t>日</w:t>
            </w:r>
          </w:p>
        </w:tc>
      </w:tr>
      <w:tr>
        <w:tblPrEx>
          <w:tblCellMar>
            <w:top w:w="0" w:type="dxa"/>
            <w:left w:w="0" w:type="dxa"/>
            <w:bottom w:w="0" w:type="dxa"/>
            <w:right w:w="0" w:type="dxa"/>
          </w:tblCellMar>
        </w:tblPrEx>
        <w:trPr>
          <w:trHeight w:val="46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1.3.3</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质量要求</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default" w:eastAsia="方正仿宋_GBK"/>
                <w:color w:val="auto"/>
                <w:highlight w:val="none"/>
                <w:u w:val="single"/>
                <w:lang w:val="en-US" w:eastAsia="zh-CN"/>
              </w:rPr>
            </w:pPr>
          </w:p>
        </w:tc>
      </w:tr>
      <w:tr>
        <w:tblPrEx>
          <w:tblCellMar>
            <w:top w:w="0" w:type="dxa"/>
            <w:left w:w="0" w:type="dxa"/>
            <w:bottom w:w="0" w:type="dxa"/>
            <w:right w:w="0" w:type="dxa"/>
          </w:tblCellMar>
        </w:tblPrEx>
        <w:trPr>
          <w:trHeight w:val="280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1.4.1</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投标人资质条件、能力和信誉</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2675"/>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资质条件：</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pPr>
              <w:pStyle w:val="25"/>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u w:val="single" w:color="000000"/>
              </w:rPr>
            </w:pPr>
            <w:r>
              <w:rPr>
                <w:rFonts w:ascii="宋体" w:hAnsi="宋体" w:eastAsia="宋体" w:cs="宋体"/>
                <w:color w:val="auto"/>
                <w:sz w:val="21"/>
                <w:szCs w:val="21"/>
                <w:highlight w:val="none"/>
              </w:rPr>
              <w:t>财务要求：</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pPr>
              <w:pStyle w:val="25"/>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u w:val="single" w:color="000000"/>
              </w:rPr>
            </w:pPr>
            <w:r>
              <w:rPr>
                <w:rFonts w:ascii="宋体" w:hAnsi="宋体" w:eastAsia="宋体" w:cs="宋体"/>
                <w:color w:val="auto"/>
                <w:sz w:val="21"/>
                <w:szCs w:val="21"/>
                <w:highlight w:val="none"/>
              </w:rPr>
              <w:t>业绩要求：</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pPr>
              <w:pStyle w:val="25"/>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u w:val="single" w:color="000000"/>
              </w:rPr>
            </w:pPr>
            <w:r>
              <w:rPr>
                <w:rFonts w:ascii="宋体" w:hAnsi="宋体" w:eastAsia="宋体" w:cs="宋体"/>
                <w:color w:val="auto"/>
                <w:sz w:val="21"/>
                <w:szCs w:val="21"/>
                <w:highlight w:val="none"/>
              </w:rPr>
              <w:t>信誉要求：</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pPr>
              <w:pStyle w:val="25"/>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w w:val="34"/>
                <w:sz w:val="21"/>
                <w:szCs w:val="21"/>
                <w:highlight w:val="none"/>
                <w:u w:val="single" w:color="000000"/>
              </w:rPr>
            </w:pPr>
            <w:r>
              <w:rPr>
                <w:rFonts w:hint="eastAsia" w:ascii="宋体" w:hAnsi="宋体" w:eastAsia="宋体" w:cs="宋体"/>
                <w:color w:val="auto"/>
                <w:sz w:val="21"/>
                <w:szCs w:val="21"/>
                <w:highlight w:val="none"/>
                <w:lang w:eastAsia="zh-CN"/>
              </w:rPr>
              <w:t>项目负责人</w:t>
            </w:r>
            <w:r>
              <w:rPr>
                <w:rFonts w:ascii="宋体" w:hAnsi="宋体" w:eastAsia="宋体" w:cs="宋体"/>
                <w:color w:val="auto"/>
                <w:sz w:val="21"/>
                <w:szCs w:val="21"/>
                <w:highlight w:val="none"/>
              </w:rPr>
              <w:t>（建造师，下同）资格：</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r>
              <w:rPr>
                <w:rFonts w:ascii="Times New Roman" w:hAnsi="Times New Roman" w:eastAsia="Times New Roman" w:cs="Times New Roman"/>
                <w:color w:val="auto"/>
                <w:w w:val="34"/>
                <w:sz w:val="21"/>
                <w:szCs w:val="21"/>
                <w:highlight w:val="none"/>
                <w:u w:val="single" w:color="000000"/>
              </w:rPr>
              <w:t xml:space="preserve"> </w:t>
            </w:r>
          </w:p>
          <w:p>
            <w:pPr>
              <w:pStyle w:val="25"/>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r>
              <w:rPr>
                <w:rFonts w:ascii="Times New Roman" w:hAnsi="Times New Roman" w:eastAsia="Times New Roman" w:cs="Times New Roman"/>
                <w:color w:val="auto"/>
                <w:w w:val="99"/>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p>
            <w:pPr>
              <w:pStyle w:val="25"/>
              <w:keepNext w:val="0"/>
              <w:keepLines w:val="0"/>
              <w:pageBreakBefore w:val="0"/>
              <w:widowControl w:val="0"/>
              <w:tabs>
                <w:tab w:val="left" w:pos="2675"/>
                <w:tab w:val="left" w:pos="4577"/>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其他要求：</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tc>
      </w:tr>
      <w:tr>
        <w:tblPrEx>
          <w:tblCellMar>
            <w:top w:w="0" w:type="dxa"/>
            <w:left w:w="0" w:type="dxa"/>
            <w:bottom w:w="0" w:type="dxa"/>
            <w:right w:w="0" w:type="dxa"/>
          </w:tblCellMar>
        </w:tblPrEx>
        <w:trPr>
          <w:trHeight w:val="104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color w:val="auto"/>
                <w:sz w:val="21"/>
                <w:highlight w:val="none"/>
              </w:rPr>
              <w:t>1.4.2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是否接受联合体投标</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□不接受</w:t>
            </w:r>
          </w:p>
          <w:p>
            <w:pPr>
              <w:pStyle w:val="25"/>
              <w:keepNext w:val="0"/>
              <w:keepLines w:val="0"/>
              <w:pageBreakBefore w:val="0"/>
              <w:widowControl w:val="0"/>
              <w:tabs>
                <w:tab w:val="left" w:pos="4144"/>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□接受，应满足下列要求：</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tc>
      </w:tr>
      <w:tr>
        <w:tblPrEx>
          <w:tblCellMar>
            <w:top w:w="0" w:type="dxa"/>
            <w:left w:w="0" w:type="dxa"/>
            <w:bottom w:w="0" w:type="dxa"/>
            <w:right w:w="0" w:type="dxa"/>
          </w:tblCellMar>
        </w:tblPrEx>
        <w:trPr>
          <w:trHeight w:val="135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方正仿宋_GBK" w:cs="宋体"/>
                <w:color w:val="auto"/>
                <w:sz w:val="21"/>
                <w:szCs w:val="21"/>
                <w:highlight w:val="none"/>
                <w:lang w:val="en-US" w:eastAsia="zh-CN"/>
              </w:rPr>
            </w:pPr>
            <w:r>
              <w:rPr>
                <w:rFonts w:ascii="宋体"/>
                <w:color w:val="auto"/>
                <w:sz w:val="21"/>
                <w:highlight w:val="none"/>
              </w:rPr>
              <w:t>1.</w:t>
            </w:r>
            <w:r>
              <w:rPr>
                <w:rFonts w:hint="eastAsia" w:ascii="宋体"/>
                <w:color w:val="auto"/>
                <w:sz w:val="21"/>
                <w:highlight w:val="none"/>
                <w:lang w:val="en-US" w:eastAsia="zh-CN"/>
              </w:rPr>
              <w:t>9</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踏勘现场</w:t>
            </w:r>
          </w:p>
        </w:tc>
        <w:tc>
          <w:tcPr>
            <w:tcW w:w="540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宋体" w:hAnsi="宋体" w:eastAsia="宋体" w:cs="Times New Roman"/>
                <w:color w:val="auto"/>
                <w:kern w:val="0"/>
                <w:sz w:val="21"/>
                <w:szCs w:val="28"/>
                <w:highlight w:val="none"/>
                <w:lang w:eastAsia="zh-CN"/>
              </w:rPr>
            </w:pPr>
            <w:r>
              <w:rPr>
                <w:rFonts w:hint="eastAsia" w:ascii="宋体" w:hAnsi="宋体" w:eastAsia="宋体" w:cs="Times New Roman"/>
                <w:color w:val="auto"/>
                <w:kern w:val="0"/>
                <w:sz w:val="21"/>
                <w:szCs w:val="28"/>
                <w:highlight w:val="none"/>
                <w:lang w:eastAsia="zh-CN"/>
              </w:rPr>
              <w:t>□不组织</w:t>
            </w:r>
          </w:p>
          <w:p>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宋体" w:hAnsi="宋体" w:eastAsia="宋体" w:cs="Times New Roman"/>
                <w:color w:val="auto"/>
                <w:kern w:val="0"/>
                <w:sz w:val="21"/>
                <w:szCs w:val="28"/>
                <w:highlight w:val="none"/>
                <w:lang w:eastAsia="zh-CN"/>
              </w:rPr>
            </w:pPr>
            <w:r>
              <w:rPr>
                <w:rFonts w:hint="eastAsia" w:ascii="宋体" w:hAnsi="宋体" w:eastAsia="宋体" w:cs="Times New Roman"/>
                <w:color w:val="auto"/>
                <w:kern w:val="0"/>
                <w:sz w:val="21"/>
                <w:szCs w:val="28"/>
                <w:highlight w:val="none"/>
                <w:lang w:eastAsia="zh-CN"/>
              </w:rPr>
              <w:t>□组织</w:t>
            </w:r>
          </w:p>
          <w:p>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ascii="Times New Roman" w:hAnsi="Times New Roman" w:eastAsia="Times New Roman" w:cs="Times New Roman"/>
                <w:color w:val="auto"/>
                <w:sz w:val="21"/>
                <w:szCs w:val="21"/>
                <w:highlight w:val="none"/>
              </w:rPr>
            </w:pPr>
            <w:r>
              <w:rPr>
                <w:rFonts w:hint="eastAsia" w:ascii="宋体" w:hAnsi="宋体" w:eastAsia="宋体" w:cs="Times New Roman"/>
                <w:color w:val="auto"/>
                <w:kern w:val="0"/>
                <w:sz w:val="21"/>
                <w:szCs w:val="28"/>
                <w:highlight w:val="none"/>
                <w:lang w:eastAsia="zh-CN"/>
              </w:rPr>
              <w:t xml:space="preserve"> </w:t>
            </w:r>
            <w:r>
              <w:rPr>
                <w:rFonts w:hint="eastAsia" w:ascii="宋体" w:hAnsi="宋体" w:eastAsia="宋体" w:cs="Times New Roman"/>
                <w:color w:val="auto"/>
                <w:kern w:val="0"/>
                <w:sz w:val="21"/>
                <w:szCs w:val="28"/>
                <w:highlight w:val="none"/>
                <w:u w:val="single"/>
                <w:lang w:eastAsia="zh-CN"/>
              </w:rPr>
              <w:t xml:space="preserve">   </w:t>
            </w:r>
            <w:r>
              <w:rPr>
                <w:rFonts w:hint="eastAsia" w:ascii="宋体" w:hAnsi="宋体" w:eastAsia="宋体" w:cs="Times New Roman"/>
                <w:color w:val="auto"/>
                <w:kern w:val="0"/>
                <w:sz w:val="21"/>
                <w:szCs w:val="28"/>
                <w:highlight w:val="none"/>
                <w:u w:val="single"/>
                <w:lang w:val="en-US" w:eastAsia="zh-CN"/>
              </w:rPr>
              <w:t xml:space="preserve">     </w:t>
            </w:r>
            <w:r>
              <w:rPr>
                <w:rFonts w:hint="eastAsia" w:ascii="宋体" w:hAnsi="宋体" w:eastAsia="宋体" w:cs="Times New Roman"/>
                <w:color w:val="auto"/>
                <w:kern w:val="0"/>
                <w:sz w:val="21"/>
                <w:szCs w:val="28"/>
                <w:highlight w:val="none"/>
                <w:u w:val="single"/>
                <w:lang w:eastAsia="zh-CN"/>
              </w:rPr>
              <w:t xml:space="preserve">  </w:t>
            </w:r>
            <w:r>
              <w:rPr>
                <w:rFonts w:hint="eastAsia" w:ascii="宋体" w:hAnsi="宋体" w:eastAsia="宋体" w:cs="Times New Roman"/>
                <w:color w:val="auto"/>
                <w:kern w:val="0"/>
                <w:sz w:val="21"/>
                <w:szCs w:val="28"/>
                <w:highlight w:val="none"/>
                <w:lang w:eastAsia="zh-CN"/>
              </w:rPr>
              <w:t>（写明相关内容）。</w:t>
            </w:r>
          </w:p>
        </w:tc>
      </w:tr>
      <w:tr>
        <w:tblPrEx>
          <w:tblCellMar>
            <w:top w:w="0" w:type="dxa"/>
            <w:left w:w="0" w:type="dxa"/>
            <w:bottom w:w="0" w:type="dxa"/>
            <w:right w:w="0" w:type="dxa"/>
          </w:tblCellMar>
        </w:tblPrEx>
        <w:trPr>
          <w:trHeight w:val="1321" w:hRule="exact"/>
          <w:jc w:val="center"/>
        </w:trPr>
        <w:tc>
          <w:tcPr>
            <w:tcW w:w="955" w:type="dxa"/>
            <w:vMerge w:val="restart"/>
            <w:tcBorders>
              <w:top w:val="single" w:color="000000" w:sz="4" w:space="0"/>
              <w:left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r>
              <w:rPr>
                <w:rFonts w:ascii="宋体"/>
                <w:color w:val="auto"/>
                <w:sz w:val="21"/>
                <w:highlight w:val="none"/>
              </w:rPr>
              <w:t>1</w:t>
            </w:r>
            <w:r>
              <w:rPr>
                <w:rFonts w:hint="eastAsia" w:ascii="宋体" w:eastAsia="宋体"/>
                <w:color w:val="auto"/>
                <w:sz w:val="21"/>
                <w:highlight w:val="none"/>
                <w:lang w:val="en-US" w:eastAsia="zh-CN"/>
              </w:rPr>
              <w:t>.10.1</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投标预备会</w:t>
            </w:r>
          </w:p>
        </w:tc>
        <w:tc>
          <w:tcPr>
            <w:tcW w:w="540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Times New Roman"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8"/>
                <w:highlight w:val="none"/>
                <w:lang w:eastAsia="zh-CN"/>
              </w:rPr>
              <w:t>□</w:t>
            </w:r>
            <w:r>
              <w:rPr>
                <w:rFonts w:hint="eastAsia" w:ascii="Times New Roman" w:hAnsi="宋体" w:eastAsia="宋体" w:cs="Times New Roman"/>
                <w:color w:val="auto"/>
                <w:kern w:val="0"/>
                <w:sz w:val="21"/>
                <w:szCs w:val="21"/>
                <w:highlight w:val="none"/>
                <w:lang w:eastAsia="zh-CN"/>
              </w:rPr>
              <w:t>不召开</w:t>
            </w:r>
          </w:p>
          <w:p>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8"/>
                <w:highlight w:val="none"/>
                <w:lang w:eastAsia="zh-CN"/>
              </w:rPr>
              <w:t>□</w:t>
            </w:r>
            <w:r>
              <w:rPr>
                <w:rFonts w:hint="eastAsia" w:ascii="Times New Roman" w:hAnsi="宋体" w:eastAsia="宋体" w:cs="Times New Roman"/>
                <w:color w:val="auto"/>
                <w:kern w:val="0"/>
                <w:sz w:val="21"/>
                <w:szCs w:val="21"/>
                <w:highlight w:val="none"/>
                <w:lang w:eastAsia="zh-CN"/>
              </w:rPr>
              <w:t>召开</w:t>
            </w:r>
          </w:p>
          <w:p>
            <w:pPr>
              <w:pStyle w:val="25"/>
              <w:keepNext w:val="0"/>
              <w:keepLines w:val="0"/>
              <w:pageBreakBefore w:val="0"/>
              <w:widowControl w:val="0"/>
              <w:tabs>
                <w:tab w:val="left" w:pos="3497"/>
              </w:tabs>
              <w:kinsoku/>
              <w:wordWrap/>
              <w:overflowPunct/>
              <w:topLinePunct w:val="0"/>
              <w:autoSpaceDE/>
              <w:autoSpaceDN/>
              <w:bidi w:val="0"/>
              <w:adjustRightInd w:val="0"/>
              <w:snapToGrid w:val="0"/>
              <w:spacing w:line="360" w:lineRule="auto"/>
              <w:ind w:left="0" w:right="0" w:firstLine="0" w:firstLineChars="0"/>
              <w:jc w:val="both"/>
              <w:textAlignment w:val="auto"/>
              <w:rPr>
                <w:rFonts w:ascii="Times New Roman" w:hAnsi="Times New Roman" w:eastAsia="Times New Roman" w:cs="Times New Roman"/>
                <w:color w:val="auto"/>
                <w:sz w:val="21"/>
                <w:szCs w:val="21"/>
                <w:highlight w:val="none"/>
              </w:rPr>
            </w:pPr>
            <w:r>
              <w:rPr>
                <w:rFonts w:hint="eastAsia" w:ascii="宋体" w:hAnsi="宋体" w:eastAsia="宋体" w:cs="Times New Roman"/>
                <w:color w:val="auto"/>
                <w:kern w:val="0"/>
                <w:sz w:val="21"/>
                <w:szCs w:val="21"/>
                <w:highlight w:val="none"/>
                <w:u w:val="single"/>
                <w:lang w:eastAsia="zh-CN"/>
              </w:rPr>
              <w:t xml:space="preserve">      </w:t>
            </w:r>
            <w:r>
              <w:rPr>
                <w:rFonts w:hint="eastAsia" w:ascii="宋体" w:hAnsi="宋体" w:eastAsia="宋体" w:cs="Times New Roman"/>
                <w:color w:val="auto"/>
                <w:kern w:val="0"/>
                <w:sz w:val="21"/>
                <w:szCs w:val="21"/>
                <w:highlight w:val="none"/>
                <w:lang w:eastAsia="zh-CN"/>
              </w:rPr>
              <w:t>（</w:t>
            </w:r>
            <w:r>
              <w:rPr>
                <w:rFonts w:hint="eastAsia" w:ascii="宋体" w:hAnsi="宋体" w:eastAsia="宋体" w:cs="Times New Roman"/>
                <w:color w:val="auto"/>
                <w:kern w:val="0"/>
                <w:sz w:val="21"/>
                <w:szCs w:val="21"/>
                <w:highlight w:val="none"/>
                <w:lang w:val="en-US" w:eastAsia="zh-CN"/>
              </w:rPr>
              <w:t xml:space="preserve">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val="en-US" w:eastAsia="zh-CN"/>
              </w:rPr>
              <w:t>（</w:t>
            </w:r>
            <w:r>
              <w:rPr>
                <w:rFonts w:hint="eastAsia" w:ascii="宋体" w:hAnsi="宋体" w:eastAsia="宋体" w:cs="Times New Roman"/>
                <w:color w:val="auto"/>
                <w:kern w:val="0"/>
                <w:sz w:val="21"/>
                <w:szCs w:val="21"/>
                <w:highlight w:val="none"/>
                <w:lang w:eastAsia="zh-CN"/>
              </w:rPr>
              <w:t>写明相关内容）。</w:t>
            </w:r>
          </w:p>
        </w:tc>
      </w:tr>
      <w:tr>
        <w:tblPrEx>
          <w:tblCellMar>
            <w:top w:w="0" w:type="dxa"/>
            <w:left w:w="0" w:type="dxa"/>
            <w:bottom w:w="0" w:type="dxa"/>
            <w:right w:w="0" w:type="dxa"/>
          </w:tblCellMar>
        </w:tblPrEx>
        <w:trPr>
          <w:trHeight w:val="1105" w:hRule="exact"/>
          <w:jc w:val="center"/>
        </w:trPr>
        <w:tc>
          <w:tcPr>
            <w:tcW w:w="955" w:type="dxa"/>
            <w:vMerge w:val="continue"/>
            <w:tcBorders>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宋体" w:hAnsi="宋体" w:eastAsia="宋体" w:cs="宋体"/>
                <w:color w:val="auto"/>
                <w:sz w:val="21"/>
                <w:szCs w:val="21"/>
                <w:highlight w:val="none"/>
                <w:lang w:val="en-US" w:eastAsia="zh-CN"/>
              </w:rPr>
            </w:pP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投标人在投标预备会前提出问题</w:t>
            </w:r>
          </w:p>
        </w:tc>
        <w:tc>
          <w:tcPr>
            <w:tcW w:w="5407"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tabs>
                <w:tab w:val="left" w:pos="3497"/>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宋体" w:hAnsi="宋体" w:eastAsia="宋体" w:cs="Times New Roman"/>
                <w:color w:val="auto"/>
                <w:kern w:val="0"/>
                <w:sz w:val="21"/>
                <w:szCs w:val="21"/>
                <w:highlight w:val="none"/>
                <w:u w:val="single"/>
                <w:lang w:val="en-US" w:eastAsia="zh-CN"/>
              </w:rPr>
            </w:pPr>
            <w:r>
              <w:rPr>
                <w:rFonts w:hint="eastAsia" w:ascii="宋体" w:hAnsi="宋体" w:eastAsia="宋体" w:cs="Times New Roman"/>
                <w:color w:val="auto"/>
                <w:kern w:val="0"/>
                <w:sz w:val="21"/>
                <w:szCs w:val="21"/>
                <w:highlight w:val="none"/>
                <w:u w:val="none"/>
                <w:lang w:val="en-US" w:eastAsia="zh-CN"/>
              </w:rPr>
              <w:t>时间：</w:t>
            </w:r>
            <w:r>
              <w:rPr>
                <w:rFonts w:hint="eastAsia" w:ascii="宋体" w:hAnsi="宋体" w:eastAsia="宋体" w:cs="Times New Roman"/>
                <w:color w:val="auto"/>
                <w:kern w:val="0"/>
                <w:sz w:val="21"/>
                <w:szCs w:val="21"/>
                <w:highlight w:val="none"/>
                <w:u w:val="single"/>
                <w:lang w:val="en-US" w:eastAsia="zh-CN"/>
              </w:rPr>
              <w:t xml:space="preserve">        </w:t>
            </w:r>
          </w:p>
          <w:p>
            <w:pPr>
              <w:pStyle w:val="25"/>
              <w:keepNext w:val="0"/>
              <w:keepLines w:val="0"/>
              <w:pageBreakBefore w:val="0"/>
              <w:widowControl w:val="0"/>
              <w:tabs>
                <w:tab w:val="left" w:pos="3497"/>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宋体" w:hAnsi="宋体" w:eastAsia="宋体" w:cs="Times New Roman"/>
                <w:color w:val="auto"/>
                <w:kern w:val="0"/>
                <w:sz w:val="21"/>
                <w:szCs w:val="21"/>
                <w:highlight w:val="none"/>
                <w:u w:val="single"/>
                <w:lang w:val="en-US" w:eastAsia="zh-CN"/>
              </w:rPr>
            </w:pPr>
            <w:r>
              <w:rPr>
                <w:rFonts w:hint="eastAsia" w:ascii="宋体" w:hAnsi="宋体" w:eastAsia="宋体" w:cs="Times New Roman"/>
                <w:color w:val="auto"/>
                <w:kern w:val="0"/>
                <w:sz w:val="21"/>
                <w:szCs w:val="21"/>
                <w:highlight w:val="none"/>
                <w:u w:val="none"/>
                <w:lang w:val="en-US" w:eastAsia="zh-CN"/>
              </w:rPr>
              <w:t>形式：</w:t>
            </w:r>
            <w:r>
              <w:rPr>
                <w:rFonts w:hint="eastAsia" w:ascii="宋体" w:hAnsi="宋体" w:eastAsia="宋体" w:cs="Times New Roman"/>
                <w:color w:val="auto"/>
                <w:kern w:val="0"/>
                <w:sz w:val="21"/>
                <w:szCs w:val="21"/>
                <w:highlight w:val="none"/>
                <w:u w:val="single"/>
                <w:lang w:val="en-US" w:eastAsia="zh-CN"/>
              </w:rPr>
              <w:t xml:space="preserve">        </w:t>
            </w:r>
          </w:p>
        </w:tc>
      </w:tr>
      <w:tr>
        <w:tblPrEx>
          <w:tblCellMar>
            <w:top w:w="0" w:type="dxa"/>
            <w:left w:w="0" w:type="dxa"/>
            <w:bottom w:w="0" w:type="dxa"/>
            <w:right w:w="0" w:type="dxa"/>
          </w:tblCellMar>
        </w:tblPrEx>
        <w:trPr>
          <w:trHeight w:val="209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default" w:ascii="宋体" w:hAnsi="宋体" w:eastAsia="宋体" w:cstheme="minorBidi"/>
                <w:color w:val="auto"/>
                <w:kern w:val="0"/>
                <w:sz w:val="22"/>
                <w:szCs w:val="21"/>
                <w:highlight w:val="none"/>
                <w:lang w:val="en-US" w:eastAsia="zh-CN" w:bidi="ar-SA"/>
              </w:rPr>
            </w:pPr>
            <w:r>
              <w:rPr>
                <w:rFonts w:ascii="宋体" w:hAnsiTheme="minorHAnsi" w:eastAsiaTheme="minorHAnsi" w:cstheme="minorBidi"/>
                <w:color w:val="auto"/>
                <w:sz w:val="21"/>
                <w:szCs w:val="22"/>
                <w:highlight w:val="none"/>
                <w:lang w:val="en-US" w:eastAsia="en-US" w:bidi="ar-SA"/>
              </w:rPr>
              <w:t>1.</w:t>
            </w:r>
            <w:r>
              <w:rPr>
                <w:rFonts w:hint="eastAsia" w:ascii="宋体" w:eastAsia="宋体" w:cstheme="minorBidi"/>
                <w:color w:val="auto"/>
                <w:sz w:val="21"/>
                <w:szCs w:val="22"/>
                <w:highlight w:val="none"/>
                <w:lang w:val="en-US" w:eastAsia="zh-CN" w:bidi="ar-SA"/>
              </w:rPr>
              <w:t>10.2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宋体" w:hAnsi="宋体" w:eastAsiaTheme="minorHAnsi" w:cstheme="minorBidi"/>
                <w:color w:val="auto"/>
                <w:kern w:val="0"/>
                <w:sz w:val="22"/>
                <w:szCs w:val="21"/>
                <w:highlight w:val="none"/>
                <w:lang w:val="en-US" w:eastAsia="en-US" w:bidi="ar-SA"/>
              </w:rPr>
            </w:pPr>
            <w:r>
              <w:rPr>
                <w:rFonts w:ascii="宋体" w:hAnsi="宋体" w:eastAsia="宋体" w:cs="宋体"/>
                <w:color w:val="auto"/>
                <w:sz w:val="21"/>
                <w:szCs w:val="21"/>
                <w:highlight w:val="none"/>
                <w:lang w:val="en-US" w:eastAsia="en-US" w:bidi="ar-SA"/>
              </w:rPr>
              <w:t>投标人提出问题的截止时间和方法</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bidi w:val="0"/>
              <w:adjustRightInd w:val="0"/>
              <w:snapToGrid w:val="0"/>
              <w:spacing w:after="0" w:line="360" w:lineRule="auto"/>
              <w:ind w:left="0" w:right="0" w:firstLine="0" w:firstLineChars="0"/>
              <w:jc w:val="both"/>
              <w:textAlignment w:val="auto"/>
              <w:rPr>
                <w:rFonts w:hint="eastAsia" w:ascii="Times New Roman" w:hAnsi="宋体" w:eastAsia="宋体" w:cs="Times New Roman"/>
                <w:color w:val="auto"/>
                <w:kern w:val="0"/>
                <w:sz w:val="21"/>
                <w:szCs w:val="21"/>
                <w:highlight w:val="none"/>
                <w:lang w:val="en-US" w:eastAsia="zh-CN"/>
              </w:rPr>
            </w:pPr>
            <w:r>
              <w:rPr>
                <w:rFonts w:hint="eastAsia" w:ascii="Times New Roman" w:hAnsi="宋体" w:eastAsia="宋体" w:cs="Times New Roman"/>
                <w:color w:val="auto"/>
                <w:kern w:val="0"/>
                <w:sz w:val="21"/>
                <w:szCs w:val="21"/>
                <w:highlight w:val="none"/>
                <w:lang w:eastAsia="zh-CN"/>
              </w:rPr>
              <w:t>在投标截止时间10日前，所有获取了招标文件的潜在投标人凭企业数字证书（CA）登录云南省公共资源交易信息网 ，通过网络在线方式向招标人或招标代理进行署名提问，招标人或招标代理需对所有潜在投标人进行统一回复。</w:t>
            </w:r>
          </w:p>
        </w:tc>
      </w:tr>
      <w:tr>
        <w:tblPrEx>
          <w:tblCellMar>
            <w:top w:w="0" w:type="dxa"/>
            <w:left w:w="0" w:type="dxa"/>
            <w:bottom w:w="0" w:type="dxa"/>
            <w:right w:w="0" w:type="dxa"/>
          </w:tblCellMar>
        </w:tblPrEx>
        <w:trPr>
          <w:trHeight w:val="209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ascii="宋体" w:hAnsiTheme="minorHAnsi" w:eastAsiaTheme="minorHAnsi" w:cstheme="minorBidi"/>
                <w:color w:val="auto"/>
                <w:sz w:val="21"/>
                <w:szCs w:val="22"/>
                <w:highlight w:val="none"/>
                <w:lang w:val="en-US" w:eastAsia="en-US" w:bidi="ar-SA"/>
              </w:rPr>
              <w:t>1.</w:t>
            </w:r>
            <w:r>
              <w:rPr>
                <w:rFonts w:hint="eastAsia" w:ascii="宋体" w:eastAsia="宋体" w:cstheme="minorBidi"/>
                <w:color w:val="auto"/>
                <w:sz w:val="21"/>
                <w:szCs w:val="22"/>
                <w:highlight w:val="none"/>
                <w:lang w:val="en-US" w:eastAsia="zh-CN" w:bidi="ar-SA"/>
              </w:rPr>
              <w:t>10.3</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招标人澄清的时间和方法</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投标截止时间至少15日前，由招标人以补遗书方式按程序报有关主管部门备案后，提交</w:t>
            </w:r>
            <w:r>
              <w:rPr>
                <w:rFonts w:hint="eastAsia" w:asciiTheme="minorEastAsia" w:hAnsiTheme="minorEastAsia" w:eastAsiaTheme="minorEastAsia" w:cstheme="minorEastAsia"/>
                <w:color w:val="auto"/>
                <w:kern w:val="0"/>
                <w:sz w:val="21"/>
                <w:szCs w:val="21"/>
                <w:highlight w:val="none"/>
                <w:u w:val="single" w:color="4F81BD" w:themeColor="accent1"/>
              </w:rPr>
              <w:t>公共资源</w:t>
            </w:r>
            <w:r>
              <w:rPr>
                <w:rFonts w:hint="eastAsia" w:asciiTheme="minorEastAsia" w:hAnsiTheme="minorEastAsia" w:eastAsiaTheme="minorEastAsia" w:cstheme="minorEastAsia"/>
                <w:color w:val="auto"/>
                <w:kern w:val="0"/>
                <w:sz w:val="21"/>
                <w:szCs w:val="21"/>
                <w:highlight w:val="none"/>
              </w:rPr>
              <w:t>交易中心统一通过网络向潜在投标人发布，所有获取了招标文件的潜在投标人登录</w:t>
            </w:r>
            <w:r>
              <w:rPr>
                <w:rFonts w:hint="eastAsia" w:ascii="Times New Roman" w:hAnsi="宋体" w:eastAsia="宋体" w:cs="Times New Roman"/>
                <w:color w:val="auto"/>
                <w:kern w:val="0"/>
                <w:sz w:val="21"/>
                <w:szCs w:val="21"/>
                <w:highlight w:val="none"/>
                <w:lang w:eastAsia="zh-CN"/>
              </w:rPr>
              <w:t xml:space="preserve">云南省公共资源交易信息网 </w:t>
            </w:r>
            <w:r>
              <w:rPr>
                <w:rFonts w:hint="eastAsia" w:asciiTheme="minorEastAsia" w:hAnsiTheme="minorEastAsia" w:eastAsiaTheme="minorEastAsia" w:cstheme="minorEastAsia"/>
                <w:color w:val="auto"/>
                <w:kern w:val="0"/>
                <w:sz w:val="21"/>
                <w:szCs w:val="21"/>
                <w:highlight w:val="none"/>
              </w:rPr>
              <w:t>凭企业身份认证数字证书（CA）查看澄清内容。</w:t>
            </w:r>
          </w:p>
        </w:tc>
      </w:tr>
      <w:tr>
        <w:tblPrEx>
          <w:tblCellMar>
            <w:top w:w="0" w:type="dxa"/>
            <w:left w:w="0" w:type="dxa"/>
            <w:bottom w:w="0" w:type="dxa"/>
            <w:right w:w="0" w:type="dxa"/>
          </w:tblCellMar>
        </w:tblPrEx>
        <w:trPr>
          <w:trHeight w:val="273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11</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分包</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 xml:space="preserve"> 不允许</w:t>
            </w:r>
          </w:p>
          <w:p>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 xml:space="preserve"> 允许,</w:t>
            </w:r>
            <w:r>
              <w:rPr>
                <w:rFonts w:hint="eastAsia" w:asciiTheme="minorEastAsia" w:hAnsiTheme="minorEastAsia" w:eastAsiaTheme="minorEastAsia" w:cstheme="minorEastAsia"/>
                <w:color w:val="auto"/>
                <w:kern w:val="0"/>
                <w:sz w:val="21"/>
                <w:szCs w:val="21"/>
                <w:highlight w:val="none"/>
                <w:u w:val="single"/>
                <w:lang w:eastAsia="zh-CN"/>
              </w:rPr>
              <w:t xml:space="preserve">      </w:t>
            </w:r>
          </w:p>
          <w:p>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tc>
      </w:tr>
      <w:tr>
        <w:tblPrEx>
          <w:tblCellMar>
            <w:top w:w="0" w:type="dxa"/>
            <w:left w:w="0" w:type="dxa"/>
            <w:bottom w:w="0" w:type="dxa"/>
            <w:right w:w="0" w:type="dxa"/>
          </w:tblCellMar>
        </w:tblPrEx>
        <w:trPr>
          <w:trHeight w:val="934"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eastAsiaTheme="minorEastAsia" w:cstheme="minorEastAsia"/>
                <w:color w:val="auto"/>
                <w:kern w:val="0"/>
                <w:sz w:val="21"/>
                <w:szCs w:val="21"/>
                <w:highlight w:val="none"/>
                <w:lang w:val="en-US" w:eastAsia="zh-CN"/>
              </w:rPr>
              <w:t>12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偏离</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不允许</w:t>
            </w:r>
          </w:p>
          <w:p>
            <w:pPr>
              <w:keepNext w:val="0"/>
              <w:keepLines w:val="0"/>
              <w:pageBreakBefore w:val="0"/>
              <w:widowControl w:val="0"/>
              <w:kinsoku/>
              <w:wordWrap/>
              <w:overflowPunct/>
              <w:topLine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允许，</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color="4F81BD" w:themeColor="accent1"/>
              </w:rPr>
              <w:t>（写明相关内容）。</w:t>
            </w:r>
          </w:p>
        </w:tc>
      </w:tr>
      <w:tr>
        <w:tblPrEx>
          <w:tblCellMar>
            <w:top w:w="0" w:type="dxa"/>
            <w:left w:w="0" w:type="dxa"/>
            <w:bottom w:w="0" w:type="dxa"/>
            <w:right w:w="0" w:type="dxa"/>
          </w:tblCellMar>
        </w:tblPrEx>
        <w:trPr>
          <w:trHeight w:val="6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2.1</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构成招标文件的其他材料</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p>
        </w:tc>
      </w:tr>
      <w:tr>
        <w:tblPrEx>
          <w:tblCellMar>
            <w:top w:w="0" w:type="dxa"/>
            <w:left w:w="0" w:type="dxa"/>
            <w:bottom w:w="0" w:type="dxa"/>
            <w:right w:w="0" w:type="dxa"/>
          </w:tblCellMar>
        </w:tblPrEx>
        <w:trPr>
          <w:trHeight w:val="237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2.2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投标人要求澄清招标文件的截止时间</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同1.10.2的时间要求</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投标人应仔细阅读和检查招标文件的全部内容。如发现缺页或附件不全，应及时向招标人提出，以便补齐。如有疑问，应在投标人须知前附表规定的时间前以在线不署名提交方式登录</w:t>
            </w:r>
            <w:r>
              <w:rPr>
                <w:rFonts w:hint="eastAsia" w:ascii="Times New Roman" w:hAnsi="宋体" w:eastAsia="宋体" w:cs="Times New Roman"/>
                <w:color w:val="auto"/>
                <w:kern w:val="0"/>
                <w:sz w:val="21"/>
                <w:szCs w:val="21"/>
                <w:highlight w:val="none"/>
                <w:lang w:eastAsia="zh-CN"/>
              </w:rPr>
              <w:t>云南省公共资源交易信息网</w:t>
            </w:r>
            <w:r>
              <w:rPr>
                <w:rFonts w:hint="eastAsia" w:asciiTheme="minorEastAsia" w:hAnsiTheme="minorEastAsia" w:eastAsiaTheme="minorEastAsia" w:cstheme="minorEastAsia"/>
                <w:color w:val="auto"/>
                <w:kern w:val="0"/>
                <w:sz w:val="21"/>
                <w:szCs w:val="21"/>
                <w:highlight w:val="none"/>
              </w:rPr>
              <w:t>，要求招标人对招标文件予以澄清。</w:t>
            </w:r>
          </w:p>
        </w:tc>
      </w:tr>
      <w:tr>
        <w:tblPrEx>
          <w:tblCellMar>
            <w:top w:w="0" w:type="dxa"/>
            <w:left w:w="0" w:type="dxa"/>
            <w:bottom w:w="0" w:type="dxa"/>
            <w:right w:w="0" w:type="dxa"/>
          </w:tblCellMar>
        </w:tblPrEx>
        <w:trPr>
          <w:trHeight w:val="985" w:hRule="exac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en-US" w:eastAsia="zh-CN"/>
              </w:rPr>
              <w:t>2.3</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投标人确认收到招标文件澄清的时间</w:t>
            </w:r>
          </w:p>
        </w:tc>
        <w:tc>
          <w:tcPr>
            <w:tcW w:w="5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投标人自行登录</w:t>
            </w:r>
            <w:r>
              <w:rPr>
                <w:rFonts w:hint="eastAsia" w:ascii="Times New Roman" w:hAnsi="宋体" w:eastAsia="宋体" w:cs="Times New Roman"/>
                <w:color w:val="auto"/>
                <w:kern w:val="0"/>
                <w:sz w:val="21"/>
                <w:szCs w:val="21"/>
                <w:highlight w:val="none"/>
                <w:lang w:eastAsia="zh-CN"/>
              </w:rPr>
              <w:t>云南省公共资源交易信息网</w:t>
            </w:r>
            <w:r>
              <w:rPr>
                <w:rFonts w:hint="eastAsia" w:asciiTheme="minorEastAsia" w:hAnsiTheme="minorEastAsia" w:eastAsiaTheme="minorEastAsia" w:cstheme="minorEastAsia"/>
                <w:color w:val="auto"/>
                <w:kern w:val="0"/>
                <w:sz w:val="21"/>
                <w:szCs w:val="21"/>
                <w:highlight w:val="none"/>
              </w:rPr>
              <w:t>获取澄清，无须回复确认已收到该澄清。</w:t>
            </w:r>
          </w:p>
        </w:tc>
      </w:tr>
      <w:tr>
        <w:tblPrEx>
          <w:tblCellMar>
            <w:top w:w="0" w:type="dxa"/>
            <w:left w:w="0" w:type="dxa"/>
            <w:bottom w:w="0" w:type="dxa"/>
            <w:right w:w="0" w:type="dxa"/>
          </w:tblCellMar>
        </w:tblPrEx>
        <w:trPr>
          <w:trHeight w:val="80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en-US" w:eastAsia="zh-CN"/>
              </w:rPr>
              <w:t>2.4</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投标截止时间</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以网上公告时间为准。</w:t>
            </w:r>
          </w:p>
        </w:tc>
      </w:tr>
      <w:tr>
        <w:tblPrEx>
          <w:tblCellMar>
            <w:top w:w="0" w:type="dxa"/>
            <w:left w:w="0" w:type="dxa"/>
            <w:bottom w:w="0" w:type="dxa"/>
            <w:right w:w="0" w:type="dxa"/>
          </w:tblCellMar>
        </w:tblPrEx>
        <w:trPr>
          <w:trHeight w:val="1130"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en-US" w:eastAsia="zh-CN"/>
              </w:rPr>
              <w:t>3.2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投标人确认收到招标文件修改的时间</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投标人自行登录</w:t>
            </w:r>
            <w:r>
              <w:rPr>
                <w:rFonts w:hint="eastAsia" w:ascii="Times New Roman" w:hAnsi="宋体" w:eastAsia="宋体" w:cs="Times New Roman"/>
                <w:color w:val="auto"/>
                <w:kern w:val="0"/>
                <w:sz w:val="21"/>
                <w:szCs w:val="21"/>
                <w:highlight w:val="none"/>
                <w:lang w:eastAsia="zh-CN"/>
              </w:rPr>
              <w:t>云南省公共资源交易信息网</w:t>
            </w:r>
            <w:r>
              <w:rPr>
                <w:rFonts w:hint="eastAsia" w:asciiTheme="minorEastAsia" w:hAnsiTheme="minorEastAsia" w:eastAsiaTheme="minorEastAsia" w:cstheme="minorEastAsia"/>
                <w:color w:val="auto"/>
                <w:kern w:val="0"/>
                <w:sz w:val="21"/>
                <w:szCs w:val="21"/>
                <w:highlight w:val="none"/>
              </w:rPr>
              <w:t>收取修改内容，无须回复确认已收到该修改。</w:t>
            </w:r>
          </w:p>
        </w:tc>
      </w:tr>
      <w:tr>
        <w:tblPrEx>
          <w:tblCellMar>
            <w:top w:w="0" w:type="dxa"/>
            <w:left w:w="0" w:type="dxa"/>
            <w:bottom w:w="0" w:type="dxa"/>
            <w:right w:w="0" w:type="dxa"/>
          </w:tblCellMar>
        </w:tblPrEx>
        <w:trPr>
          <w:trHeight w:val="805"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3.1</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构成投标文件的其他材料</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p>
        </w:tc>
      </w:tr>
      <w:tr>
        <w:tblPrEx>
          <w:tblCellMar>
            <w:top w:w="0" w:type="dxa"/>
            <w:left w:w="0" w:type="dxa"/>
            <w:bottom w:w="0" w:type="dxa"/>
            <w:right w:w="0" w:type="dxa"/>
          </w:tblCellMar>
        </w:tblPrEx>
        <w:trPr>
          <w:trHeight w:val="86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3.2</w:t>
            </w:r>
          </w:p>
        </w:tc>
        <w:tc>
          <w:tcPr>
            <w:tcW w:w="277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最高投标限价</w:t>
            </w:r>
          </w:p>
        </w:tc>
        <w:tc>
          <w:tcPr>
            <w:tcW w:w="540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□无</w:t>
            </w:r>
          </w:p>
          <w:p>
            <w:pPr>
              <w:pStyle w:val="25"/>
              <w:keepNext w:val="0"/>
              <w:keepLines w:val="0"/>
              <w:pageBreakBefore w:val="0"/>
              <w:widowControl w:val="0"/>
              <w:tabs>
                <w:tab w:val="left" w:pos="3304"/>
              </w:tabs>
              <w:kinsoku/>
              <w:wordWrap/>
              <w:overflowPunct/>
              <w:topLinePunct w:val="0"/>
              <w:autoSpaceDE/>
              <w:autoSpaceDN/>
              <w:bidi w:val="0"/>
              <w:adjustRightInd w:val="0"/>
              <w:snapToGrid w:val="0"/>
              <w:spacing w:line="360" w:lineRule="auto"/>
              <w:ind w:left="0" w:right="0" w:firstLine="0" w:firstLineChars="0"/>
              <w:jc w:val="left"/>
              <w:textAlignment w:val="auto"/>
              <w:rPr>
                <w:rFonts w:ascii="Times New Roman" w:hAnsi="Times New Roman" w:eastAsia="Times New Roman" w:cs="Times New Roman"/>
                <w:color w:val="auto"/>
                <w:sz w:val="21"/>
                <w:szCs w:val="21"/>
                <w:highlight w:val="none"/>
              </w:rPr>
            </w:pPr>
            <w:r>
              <w:rPr>
                <w:rFonts w:ascii="宋体" w:hAnsi="宋体" w:eastAsia="宋体" w:cs="宋体"/>
                <w:color w:val="auto"/>
                <w:sz w:val="21"/>
                <w:szCs w:val="21"/>
                <w:highlight w:val="none"/>
              </w:rPr>
              <w:t>□有，最高投标限价：</w:t>
            </w:r>
            <w:r>
              <w:rPr>
                <w:rFonts w:ascii="Times New Roman" w:hAnsi="Times New Roman" w:eastAsia="Times New Roman" w:cs="Times New Roman"/>
                <w:color w:val="auto"/>
                <w:sz w:val="21"/>
                <w:szCs w:val="21"/>
                <w:highlight w:val="none"/>
                <w:u w:val="single" w:color="000000"/>
              </w:rPr>
              <w:t xml:space="preserve"> </w:t>
            </w:r>
            <w:r>
              <w:rPr>
                <w:rFonts w:ascii="Times New Roman" w:hAnsi="Times New Roman" w:eastAsia="Times New Roman" w:cs="Times New Roman"/>
                <w:color w:val="auto"/>
                <w:sz w:val="21"/>
                <w:szCs w:val="21"/>
                <w:highlight w:val="none"/>
                <w:u w:val="single" w:color="000000"/>
              </w:rPr>
              <w:tab/>
            </w:r>
          </w:p>
        </w:tc>
      </w:tr>
      <w:tr>
        <w:tblPrEx>
          <w:tblCellMar>
            <w:top w:w="0" w:type="dxa"/>
            <w:left w:w="0" w:type="dxa"/>
            <w:bottom w:w="0" w:type="dxa"/>
            <w:right w:w="0" w:type="dxa"/>
          </w:tblCellMar>
        </w:tblPrEx>
        <w:trPr>
          <w:trHeight w:val="74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3.3</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投标有效期</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投标截止之日起</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日历天。</w:t>
            </w:r>
          </w:p>
        </w:tc>
      </w:tr>
      <w:tr>
        <w:tblPrEx>
          <w:tblCellMar>
            <w:top w:w="0" w:type="dxa"/>
            <w:left w:w="0" w:type="dxa"/>
            <w:bottom w:w="0" w:type="dxa"/>
            <w:right w:w="0" w:type="dxa"/>
          </w:tblCellMar>
        </w:tblPrEx>
        <w:trPr>
          <w:trHeight w:val="9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3.4</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投标保证金</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不要求递交投标保证金</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要求递交投标保证金</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一、投标保证金提交形式：银行转账、网银、电汇、银行保函、投标保证保险</w:t>
            </w:r>
            <w:r>
              <w:rPr>
                <w:rFonts w:hint="eastAsia" w:asciiTheme="minorEastAsia" w:hAnsiTheme="minorEastAsia" w:eastAsiaTheme="minorEastAsia" w:cstheme="minorEastAsia"/>
                <w:color w:val="auto"/>
                <w:kern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二、投标保证金账户信息：</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（一）户</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rPr>
              <w:t>名：</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（二）开户行：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（三）保证金提交账号及金额：</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三、投标保证金的提交程序：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采用银行转账、网银、电汇方式提交投标保证金的，投标人应以自身的名义提交，并且必须从其基本账户转出，不得以分支机构其他名义提交；投标人需在投标截止时间前递交保证金，到账时间以实际到达保证金账号时间为准，未在投标截止时间前到账的保证金视为未提交。</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采用银行保函方式提交投标保证金的，申请人必须是投标人，受益人必须是招标人；银行保函必须正确填写受益人和申请人的全称，并与招标文件规定的名称相一致，以免造成投标无效。投标人必须将银行保函原件扫描件附在投标文件中。银行保函真实性由投标人自行承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w:t>
            </w:r>
            <w:r>
              <w:rPr>
                <w:rFonts w:hint="eastAsia" w:asciiTheme="minorEastAsia" w:hAnsiTheme="minorEastAsia" w:eastAsiaTheme="minorEastAsia" w:cstheme="minorEastAsia"/>
                <w:color w:val="auto"/>
                <w:kern w:val="0"/>
                <w:sz w:val="21"/>
                <w:szCs w:val="21"/>
                <w:highlight w:val="none"/>
                <w:lang w:val="en-US" w:eastAsia="zh-CN"/>
              </w:rPr>
              <w:t>采用投标保证保险方式提交投标保证金的，投标人可通过云南省公共资源交易信息网首页点击“保险（保函）”办理，提交程序详见《云南省公共资源交易投标系统购买保险保函操作说明》；向其他金融机构购买保证保险的，投标人必须将保证保险原件扫描件附在投标文件中。保证保险真实性由投标人自行承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四、注意事项：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（一）投标人投同一项目下两个及以上标段的，应按标段分别提交保证金。</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（二）若以银行转账、网银、电汇方式提交至交易中心专用账户的投标保证金，投标人须在云南省公共资源交易系统中进行绑定。</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（三）投标人应充分考虑各种形式投标保证金提交时间，未在投标保证金缴纳截止时间前到账的投标保证金视为未提交。</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eastAsiaTheme="minorEastAsia"/>
                <w:color w:val="auto"/>
                <w:highlight w:val="none"/>
                <w:lang w:val="en-US" w:eastAsia="zh-CN"/>
              </w:rPr>
            </w:pPr>
            <w:r>
              <w:rPr>
                <w:rFonts w:hint="eastAsia" w:asciiTheme="minorEastAsia" w:hAnsiTheme="minorEastAsia" w:eastAsiaTheme="minorEastAsia" w:cstheme="minorEastAsia"/>
                <w:color w:val="auto"/>
                <w:kern w:val="0"/>
                <w:sz w:val="21"/>
                <w:szCs w:val="21"/>
                <w:highlight w:val="none"/>
              </w:rPr>
              <w:t>（四）因不可抗力因素导致投标人无法在投标截止时间前按时缴纳保证金、保函、保险等情况下，投标人需在开标时提供相关情况说明，经招标人核实同意后，可以认可投标人已按时缴纳保证金、保函、保险。后续保证金是否缴纳，请招标人自行确定。</w:t>
            </w:r>
          </w:p>
        </w:tc>
      </w:tr>
      <w:tr>
        <w:tblPrEx>
          <w:tblCellMar>
            <w:top w:w="0" w:type="dxa"/>
            <w:left w:w="0" w:type="dxa"/>
            <w:bottom w:w="0" w:type="dxa"/>
            <w:right w:w="0" w:type="dxa"/>
          </w:tblCellMar>
        </w:tblPrEx>
        <w:trPr>
          <w:trHeight w:val="80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3.5.</w:t>
            </w:r>
            <w:r>
              <w:rPr>
                <w:rFonts w:hint="eastAsia" w:asciiTheme="minorEastAsia" w:hAnsiTheme="minorEastAsia" w:eastAsiaTheme="minorEastAsia" w:cstheme="minorEastAsia"/>
                <w:color w:val="auto"/>
                <w:kern w:val="0"/>
                <w:sz w:val="21"/>
                <w:szCs w:val="21"/>
                <w:highlight w:val="none"/>
                <w:lang w:val="en-US" w:eastAsia="zh-CN"/>
              </w:rPr>
              <w:t>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要求提供</w:t>
            </w:r>
            <w:r>
              <w:rPr>
                <w:rFonts w:hint="eastAsia" w:asciiTheme="minorEastAsia" w:hAnsiTheme="minorEastAsia" w:eastAsiaTheme="minorEastAsia" w:cstheme="minorEastAsia"/>
                <w:color w:val="auto"/>
                <w:kern w:val="0"/>
                <w:sz w:val="21"/>
                <w:szCs w:val="21"/>
                <w:highlight w:val="none"/>
              </w:rPr>
              <w:t>财务状况的年份要求</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年至</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none"/>
                <w:lang w:eastAsia="zh-CN"/>
              </w:rPr>
              <w:t>年</w:t>
            </w:r>
            <w:r>
              <w:rPr>
                <w:rFonts w:hint="eastAsia" w:asciiTheme="minorEastAsia" w:hAnsiTheme="minorEastAsia" w:eastAsiaTheme="minorEastAsia" w:cstheme="minorEastAsia"/>
                <w:color w:val="auto"/>
                <w:kern w:val="0"/>
                <w:sz w:val="21"/>
                <w:szCs w:val="21"/>
                <w:highlight w:val="none"/>
              </w:rPr>
              <w:t>（年份要求）有效的财务报表。</w:t>
            </w:r>
          </w:p>
        </w:tc>
      </w:tr>
      <w:tr>
        <w:tblPrEx>
          <w:tblCellMar>
            <w:top w:w="0" w:type="dxa"/>
            <w:left w:w="0" w:type="dxa"/>
            <w:bottom w:w="0" w:type="dxa"/>
            <w:right w:w="0" w:type="dxa"/>
          </w:tblCellMar>
        </w:tblPrEx>
        <w:trPr>
          <w:trHeight w:val="70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3.5.</w:t>
            </w:r>
            <w:r>
              <w:rPr>
                <w:rFonts w:hint="eastAsia" w:asciiTheme="minorEastAsia" w:hAnsiTheme="minorEastAsia" w:eastAsiaTheme="minorEastAsia" w:cstheme="minorEastAsia"/>
                <w:color w:val="auto"/>
                <w:kern w:val="0"/>
                <w:sz w:val="21"/>
                <w:szCs w:val="21"/>
                <w:highlight w:val="none"/>
                <w:lang w:val="en-US" w:eastAsia="zh-CN"/>
              </w:rPr>
              <w:t>3</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要求提供</w:t>
            </w:r>
            <w:r>
              <w:rPr>
                <w:rFonts w:hint="eastAsia" w:asciiTheme="minorEastAsia" w:hAnsiTheme="minorEastAsia" w:eastAsiaTheme="minorEastAsia" w:cstheme="minorEastAsia"/>
                <w:color w:val="auto"/>
                <w:kern w:val="0"/>
                <w:sz w:val="21"/>
                <w:szCs w:val="21"/>
                <w:highlight w:val="none"/>
              </w:rPr>
              <w:t>类似</w:t>
            </w:r>
            <w:r>
              <w:rPr>
                <w:rFonts w:hint="eastAsia" w:asciiTheme="minorEastAsia" w:hAnsiTheme="minorEastAsia" w:eastAsiaTheme="minorEastAsia" w:cstheme="minorEastAsia"/>
                <w:color w:val="auto"/>
                <w:kern w:val="0"/>
                <w:sz w:val="21"/>
                <w:szCs w:val="21"/>
                <w:highlight w:val="none"/>
                <w:lang w:eastAsia="zh-CN"/>
              </w:rPr>
              <w:t>业绩</w:t>
            </w:r>
            <w:r>
              <w:rPr>
                <w:rFonts w:hint="eastAsia" w:asciiTheme="minorEastAsia" w:hAnsiTheme="minorEastAsia" w:eastAsiaTheme="minorEastAsia" w:cstheme="minorEastAsia"/>
                <w:color w:val="auto"/>
                <w:kern w:val="0"/>
                <w:sz w:val="21"/>
                <w:szCs w:val="21"/>
                <w:highlight w:val="none"/>
              </w:rPr>
              <w:t>的年份要求</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年</w:t>
            </w:r>
            <w:r>
              <w:rPr>
                <w:rFonts w:hint="eastAsia" w:asciiTheme="minorEastAsia" w:hAnsiTheme="minorEastAsia" w:eastAsiaTheme="minorEastAsia" w:cstheme="minorEastAsia"/>
                <w:color w:val="auto"/>
                <w:kern w:val="0"/>
                <w:sz w:val="21"/>
                <w:szCs w:val="21"/>
                <w:highlight w:val="none"/>
                <w:lang w:eastAsia="zh-CN"/>
              </w:rPr>
              <w:t>至</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none"/>
                <w:lang w:eastAsia="zh-CN"/>
              </w:rPr>
              <w:t>年</w:t>
            </w:r>
            <w:r>
              <w:rPr>
                <w:rFonts w:hint="eastAsia" w:asciiTheme="minorEastAsia" w:hAnsiTheme="minorEastAsia" w:eastAsiaTheme="minorEastAsia" w:cstheme="minorEastAsia"/>
                <w:color w:val="auto"/>
                <w:kern w:val="0"/>
                <w:sz w:val="21"/>
                <w:szCs w:val="21"/>
                <w:highlight w:val="none"/>
                <w:lang w:eastAsia="zh-CN"/>
              </w:rPr>
              <w:t>完成的类似项目。</w:t>
            </w:r>
          </w:p>
        </w:tc>
      </w:tr>
      <w:tr>
        <w:tblPrEx>
          <w:tblCellMar>
            <w:top w:w="0" w:type="dxa"/>
            <w:left w:w="0" w:type="dxa"/>
            <w:bottom w:w="0" w:type="dxa"/>
            <w:right w:w="0" w:type="dxa"/>
          </w:tblCellMar>
        </w:tblPrEx>
        <w:trPr>
          <w:trHeight w:val="307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eastAsiaTheme="minorEastAsia" w:cstheme="minorEastAsia"/>
                <w:color w:val="auto"/>
                <w:kern w:val="0"/>
                <w:sz w:val="21"/>
                <w:szCs w:val="21"/>
                <w:highlight w:val="none"/>
                <w:lang w:val="en-US" w:eastAsia="zh-CN"/>
              </w:rPr>
              <w:t>7</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投标文件</w:t>
            </w:r>
          </w:p>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电子签章及电子签名要求</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按照投标文件格式，采用单位和个人数字证书电子签章及电子签名：技术标投标文件需要企业、法定代表人电子签章及电子签名；商务标投标文件需要企业、法定代表人电子签章及电子签名。</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注：1.在需要电子签章的地方进行电子签章，无需逐页电子签章。</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2.如为联合体投标的，投标人签章均指联合体牵头人。</w:t>
            </w:r>
          </w:p>
        </w:tc>
      </w:tr>
      <w:tr>
        <w:tblPrEx>
          <w:tblCellMar>
            <w:top w:w="0" w:type="dxa"/>
            <w:left w:w="0" w:type="dxa"/>
            <w:bottom w:w="0" w:type="dxa"/>
            <w:right w:w="0" w:type="dxa"/>
          </w:tblCellMar>
        </w:tblPrEx>
        <w:trPr>
          <w:trHeight w:val="2153"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4.1</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投标文件上传及格式</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投标人登录</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，根据拟</w:t>
            </w:r>
            <w:r>
              <w:rPr>
                <w:rFonts w:hint="eastAsia" w:asciiTheme="minorEastAsia" w:hAnsiTheme="minorEastAsia" w:eastAsiaTheme="minorEastAsia" w:cstheme="minorEastAsia"/>
                <w:color w:val="auto"/>
                <w:kern w:val="0"/>
                <w:sz w:val="21"/>
                <w:szCs w:val="21"/>
                <w:highlight w:val="none"/>
                <w:lang w:eastAsia="zh-CN"/>
              </w:rPr>
              <w:t>参与</w:t>
            </w:r>
            <w:r>
              <w:rPr>
                <w:rFonts w:hint="eastAsia" w:asciiTheme="minorEastAsia" w:hAnsiTheme="minorEastAsia" w:eastAsiaTheme="minorEastAsia" w:cstheme="minorEastAsia"/>
                <w:color w:val="auto"/>
                <w:kern w:val="0"/>
                <w:sz w:val="21"/>
                <w:szCs w:val="21"/>
                <w:highlight w:val="none"/>
              </w:rPr>
              <w:t>投标的项目，按照网上投标系统要求上传投标文件，上传完成后，检查投标文件的完整性并“确认签名”，表明投标人网上上传投标文件成功。投标人可打印“上传投标文件回执”，投标截止时间前未完成投标文件传输的，视为撤回投标文件。</w:t>
            </w:r>
          </w:p>
        </w:tc>
      </w:tr>
      <w:tr>
        <w:tblPrEx>
          <w:tblCellMar>
            <w:top w:w="0" w:type="dxa"/>
            <w:left w:w="0" w:type="dxa"/>
            <w:bottom w:w="0" w:type="dxa"/>
            <w:right w:w="0" w:type="dxa"/>
          </w:tblCellMar>
        </w:tblPrEx>
        <w:trPr>
          <w:trHeight w:val="631"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4.</w:t>
            </w:r>
            <w:r>
              <w:rPr>
                <w:rFonts w:hint="eastAsia" w:asciiTheme="minorEastAsia" w:hAnsiTheme="minorEastAsia" w:eastAsiaTheme="minorEastAsia" w:cstheme="minorEastAsia"/>
                <w:color w:val="auto"/>
                <w:kern w:val="0"/>
                <w:sz w:val="21"/>
                <w:szCs w:val="21"/>
                <w:highlight w:val="none"/>
                <w:lang w:val="en-US" w:eastAsia="zh-CN"/>
              </w:rPr>
              <w:t>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是否退还投标文件</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topLine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否</w:t>
            </w:r>
          </w:p>
        </w:tc>
      </w:tr>
      <w:tr>
        <w:tblPrEx>
          <w:tblCellMar>
            <w:top w:w="0" w:type="dxa"/>
            <w:left w:w="0" w:type="dxa"/>
            <w:bottom w:w="0" w:type="dxa"/>
            <w:right w:w="0" w:type="dxa"/>
          </w:tblCellMar>
        </w:tblPrEx>
        <w:trPr>
          <w:trHeight w:val="3257"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5.1</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开标时间地点和方式</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开标时间：同投标截止时间</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开标地点：</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开标方式：</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网上开标（投标人不到现场）</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lang w:val="en-US" w:eastAsia="zh-CN"/>
              </w:rPr>
              <w:t xml:space="preserve">        </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现场开标（投标人需按时到现场）</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u w:val="single"/>
              </w:rPr>
            </w:pPr>
            <w:r>
              <w:rPr>
                <w:rFonts w:hint="eastAsia" w:asciiTheme="minorEastAsia" w:hAnsiTheme="minorEastAsia" w:eastAsiaTheme="minorEastAsia" w:cstheme="minorEastAsia"/>
                <w:color w:val="auto"/>
                <w:kern w:val="0"/>
                <w:sz w:val="21"/>
                <w:szCs w:val="21"/>
                <w:highlight w:val="none"/>
              </w:rPr>
              <w:t>需投标人到现场开标说明：</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 xml:space="preserve">                                           </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 xml:space="preserve"> 注：无特殊情况不得要求投标人到现场开标，需要投标人     到现场开标请在招标文件中说明  </w:t>
            </w:r>
          </w:p>
        </w:tc>
      </w:tr>
      <w:tr>
        <w:tblPrEx>
          <w:tblCellMar>
            <w:top w:w="0" w:type="dxa"/>
            <w:left w:w="0" w:type="dxa"/>
            <w:bottom w:w="0" w:type="dxa"/>
            <w:right w:w="0" w:type="dxa"/>
          </w:tblCellMar>
        </w:tblPrEx>
        <w:trPr>
          <w:trHeight w:val="0" w:hRule="atLeas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5.2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开标程序</w:t>
            </w:r>
          </w:p>
        </w:tc>
        <w:tc>
          <w:tcPr>
            <w:tcW w:w="5407" w:type="dxa"/>
            <w:tcBorders>
              <w:top w:val="single" w:color="000000" w:sz="4" w:space="0"/>
              <w:left w:val="single" w:color="000000" w:sz="4" w:space="0"/>
              <w:bottom w:val="single" w:color="000000" w:sz="4" w:space="0"/>
              <w:right w:val="single" w:color="000000" w:sz="4" w:space="0"/>
            </w:tcBorders>
            <w:vAlign w:val="center"/>
          </w:tcPr>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采用电子招标方式的，开标程序按交易平台的规定要求执行。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（1）公布在投标截止时间前递交投标文件的投标人名称；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（2）宣布开标人、唱标人、记录人、行政监督等有关人员姓名；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lang w:eastAsia="zh-CN"/>
              </w:rPr>
            </w:pPr>
            <w:r>
              <w:rPr>
                <w:rFonts w:hint="eastAsia"/>
                <w:color w:val="auto"/>
                <w:highlight w:val="none"/>
              </w:rPr>
              <w:t>（3）公共资源交易平台提取所有已成功上传的投标文件，由投标人对网上上传已加密的投标文件进行网上解密或现场解密，解密完成后导入有效投标人的电子投标文件</w:t>
            </w:r>
            <w:r>
              <w:rPr>
                <w:rFonts w:hint="eastAsia"/>
                <w:color w:val="auto"/>
                <w:highlight w:val="none"/>
                <w:lang w:eastAsia="zh-CN"/>
              </w:rPr>
              <w:t>。所有有效投标文件导入完成后进行唱标公布</w:t>
            </w:r>
            <w:r>
              <w:rPr>
                <w:rFonts w:hint="eastAsia"/>
                <w:color w:val="auto"/>
                <w:highlight w:val="none"/>
              </w:rPr>
              <w:t>有投标人名称、投标价格和招标文件规定的其他内容；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（4）本项目采用网上智能开标远程解密。投标人登录云南省公共资源交易平台，按照《网上智能开标远程解密操作指南（投标人）》完成远程解密、查看开标一览表等相关操作。本项目解密时间为</w:t>
            </w:r>
            <w:r>
              <w:rPr>
                <w:rFonts w:hint="eastAsia"/>
                <w:color w:val="auto"/>
                <w:highlight w:val="none"/>
                <w:u w:val="single"/>
              </w:rPr>
              <w:t xml:space="preserve">      </w:t>
            </w:r>
            <w:r>
              <w:rPr>
                <w:rFonts w:hint="eastAsia"/>
                <w:color w:val="auto"/>
                <w:highlight w:val="none"/>
              </w:rPr>
              <w:t>，若投标人未在规定时间完成以上解密，则视为撤销其投标文件，不再进入评标阶段。(不得设置不合理的解密时间)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因开标系统、开标现场网络、设备及其他特殊原因，导致不能正常解密投标文件的，经核实和上报相关部门同意后，可再次下达网上解密指令来延长解密时间。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）招标人、纪律监察、行政监管人员、招标代理机构可在开标记录上签字确认；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color w:val="auto"/>
                <w:highlight w:val="none"/>
              </w:rPr>
              <w:t>（</w:t>
            </w:r>
            <w:r>
              <w:rPr>
                <w:rFonts w:hint="eastAsia"/>
                <w:color w:val="auto"/>
                <w:highlight w:val="none"/>
                <w:lang w:val="en-US" w:eastAsia="zh-CN"/>
              </w:rPr>
              <w:t>6</w:t>
            </w:r>
            <w:r>
              <w:rPr>
                <w:rFonts w:hint="eastAsia"/>
                <w:color w:val="auto"/>
                <w:highlight w:val="none"/>
              </w:rPr>
              <w:t>）开标结束。</w:t>
            </w:r>
          </w:p>
        </w:tc>
      </w:tr>
      <w:tr>
        <w:tblPrEx>
          <w:tblCellMar>
            <w:top w:w="0" w:type="dxa"/>
            <w:left w:w="0" w:type="dxa"/>
            <w:bottom w:w="0" w:type="dxa"/>
            <w:right w:w="0" w:type="dxa"/>
          </w:tblCellMar>
        </w:tblPrEx>
        <w:trPr>
          <w:trHeight w:val="200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6.1</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评标委员会的组建</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评标委员会构成须为</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人</w:t>
            </w:r>
            <w:r>
              <w:rPr>
                <w:rFonts w:hint="eastAsia" w:asciiTheme="minorEastAsia" w:hAnsiTheme="minorEastAsia" w:eastAsiaTheme="minorEastAsia" w:cstheme="minorEastAsia"/>
                <w:color w:val="auto"/>
                <w:sz w:val="21"/>
                <w:szCs w:val="21"/>
                <w:highlight w:val="none"/>
              </w:rPr>
              <w:t>及其以上单数</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rPr>
              <w:t>其中经济方面的专家不得少于</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u w:val="single"/>
                <w:lang w:eastAsia="zh-CN"/>
              </w:rPr>
              <w:t xml:space="preserve">    </w:t>
            </w:r>
            <w:r>
              <w:rPr>
                <w:rFonts w:hint="eastAsia" w:asciiTheme="minorEastAsia" w:hAnsiTheme="minorEastAsia" w:eastAsiaTheme="minorEastAsia" w:cstheme="minorEastAsia"/>
                <w:color w:val="auto"/>
                <w:kern w:val="0"/>
                <w:sz w:val="21"/>
                <w:szCs w:val="21"/>
                <w:highlight w:val="none"/>
              </w:rPr>
              <w:t>人</w:t>
            </w:r>
            <w:r>
              <w:rPr>
                <w:rFonts w:hint="eastAsia" w:asciiTheme="minorEastAsia" w:hAnsiTheme="minorEastAsia" w:eastAsiaTheme="minorEastAsia" w:cstheme="minorEastAsia"/>
                <w:color w:val="auto"/>
                <w:sz w:val="21"/>
                <w:szCs w:val="21"/>
                <w:highlight w:val="none"/>
              </w:rPr>
              <w:t>（评标委员会的组成应当符合相关规定）。</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sz w:val="21"/>
                <w:szCs w:val="21"/>
                <w:highlight w:val="none"/>
              </w:rPr>
              <w:t>评标专家确定方式：从</w:t>
            </w:r>
            <w:r>
              <w:rPr>
                <w:rFonts w:hint="eastAsia" w:asciiTheme="minorEastAsia" w:hAnsiTheme="minorEastAsia" w:eastAsiaTheme="minorEastAsia" w:cstheme="minorEastAsia"/>
                <w:color w:val="auto"/>
                <w:sz w:val="21"/>
                <w:szCs w:val="21"/>
                <w:highlight w:val="none"/>
                <w:lang w:eastAsia="zh-CN"/>
              </w:rPr>
              <w:t>云南</w:t>
            </w:r>
            <w:r>
              <w:rPr>
                <w:rFonts w:hint="eastAsia" w:asciiTheme="minorEastAsia" w:hAnsiTheme="minorEastAsia" w:eastAsiaTheme="minorEastAsia" w:cstheme="minorEastAsia"/>
                <w:color w:val="auto"/>
                <w:sz w:val="21"/>
                <w:szCs w:val="21"/>
                <w:highlight w:val="none"/>
              </w:rPr>
              <w:t>省综合评标专家库中随机抽</w:t>
            </w:r>
            <w:r>
              <w:rPr>
                <w:rFonts w:hint="eastAsia" w:asciiTheme="minorEastAsia" w:hAnsiTheme="minorEastAsia" w:eastAsiaTheme="minorEastAsia" w:cstheme="minorEastAsia"/>
                <w:color w:val="auto"/>
                <w:sz w:val="21"/>
                <w:szCs w:val="21"/>
                <w:highlight w:val="none"/>
                <w:lang w:val="en-US" w:eastAsia="zh-CN"/>
              </w:rPr>
              <w:t>取</w:t>
            </w:r>
            <w:r>
              <w:rPr>
                <w:rFonts w:hint="eastAsia" w:asciiTheme="minorEastAsia" w:hAnsiTheme="minorEastAsia" w:eastAsiaTheme="minorEastAsia" w:cstheme="minorEastAsia"/>
                <w:color w:val="auto"/>
                <w:sz w:val="21"/>
                <w:szCs w:val="21"/>
                <w:highlight w:val="none"/>
              </w:rPr>
              <w:t>。</w:t>
            </w:r>
          </w:p>
        </w:tc>
      </w:tr>
      <w:tr>
        <w:tblPrEx>
          <w:tblCellMar>
            <w:top w:w="0" w:type="dxa"/>
            <w:left w:w="0" w:type="dxa"/>
            <w:bottom w:w="0" w:type="dxa"/>
            <w:right w:w="0" w:type="dxa"/>
          </w:tblCellMar>
        </w:tblPrEx>
        <w:trPr>
          <w:trHeight w:val="9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val="en-US" w:eastAsia="zh-CN"/>
              </w:rPr>
              <w:t>3</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评标办法</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经评审的最低投标价法</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综合评估法</w:t>
            </w:r>
          </w:p>
        </w:tc>
      </w:tr>
      <w:tr>
        <w:tblPrEx>
          <w:tblCellMar>
            <w:top w:w="0" w:type="dxa"/>
            <w:left w:w="0" w:type="dxa"/>
            <w:bottom w:w="0" w:type="dxa"/>
            <w:right w:w="0" w:type="dxa"/>
          </w:tblCellMar>
        </w:tblPrEx>
        <w:trPr>
          <w:trHeight w:val="59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6.4</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技术标暗标评审及编制要求</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fldChar w:fldCharType="begin"/>
            </w:r>
            <w:r>
              <w:rPr>
                <w:rFonts w:hint="eastAsia" w:asciiTheme="minorEastAsia" w:hAnsiTheme="minorEastAsia" w:eastAsiaTheme="minorEastAsia" w:cstheme="minorEastAsia"/>
                <w:color w:val="auto"/>
                <w:kern w:val="0"/>
                <w:sz w:val="21"/>
                <w:szCs w:val="21"/>
                <w:highlight w:val="none"/>
              </w:rPr>
              <w:instrText xml:space="preserve"> AUTOTEXT  input161 \* MERGEFORMAT </w:instrText>
            </w:r>
            <w:r>
              <w:rPr>
                <w:rFonts w:hint="eastAsia" w:asciiTheme="minorEastAsia" w:hAnsiTheme="minorEastAsia" w:eastAsiaTheme="minorEastAsia" w:cstheme="minorEastAsia"/>
                <w:color w:val="auto"/>
                <w:kern w:val="0"/>
                <w:sz w:val="21"/>
                <w:szCs w:val="21"/>
                <w:highlight w:val="none"/>
              </w:rPr>
              <w:fldChar w:fldCharType="separate"/>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rPr>
              <w:fldChar w:fldCharType="end"/>
            </w:r>
            <w:r>
              <w:rPr>
                <w:rFonts w:hint="eastAsia" w:asciiTheme="minorEastAsia" w:hAnsiTheme="minorEastAsia" w:eastAsiaTheme="minorEastAsia" w:cstheme="minorEastAsia"/>
                <w:color w:val="auto"/>
                <w:kern w:val="0"/>
                <w:sz w:val="21"/>
                <w:szCs w:val="21"/>
                <w:highlight w:val="none"/>
              </w:rPr>
              <w:t>不采用</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fldChar w:fldCharType="begin"/>
            </w:r>
            <w:r>
              <w:rPr>
                <w:rFonts w:hint="eastAsia" w:asciiTheme="minorEastAsia" w:hAnsiTheme="minorEastAsia" w:eastAsiaTheme="minorEastAsia" w:cstheme="minorEastAsia"/>
                <w:color w:val="auto"/>
                <w:kern w:val="0"/>
                <w:sz w:val="21"/>
                <w:szCs w:val="21"/>
                <w:highlight w:val="none"/>
              </w:rPr>
              <w:instrText xml:space="preserve"> AUTOTEXT  input161 \* MERGEFORMAT </w:instrText>
            </w:r>
            <w:r>
              <w:rPr>
                <w:rFonts w:hint="eastAsia" w:asciiTheme="minorEastAsia" w:hAnsiTheme="minorEastAsia" w:eastAsiaTheme="minorEastAsia" w:cstheme="minorEastAsia"/>
                <w:color w:val="auto"/>
                <w:kern w:val="0"/>
                <w:sz w:val="21"/>
                <w:szCs w:val="21"/>
                <w:highlight w:val="none"/>
              </w:rPr>
              <w:fldChar w:fldCharType="separate"/>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rPr>
              <w:fldChar w:fldCharType="end"/>
            </w:r>
            <w:r>
              <w:rPr>
                <w:rFonts w:hint="eastAsia" w:asciiTheme="minorEastAsia" w:hAnsiTheme="minorEastAsia" w:eastAsiaTheme="minorEastAsia" w:cstheme="minorEastAsia"/>
                <w:color w:val="auto"/>
                <w:kern w:val="0"/>
                <w:sz w:val="21"/>
                <w:szCs w:val="21"/>
                <w:highlight w:val="none"/>
              </w:rPr>
              <w:t>采用，投标人应严格按照“投标文件”中“技术部分（暗标）编制要求”编制技术部分内容，同时满足以下编制要求：</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1.字体：正文统一用宋体四号字体，封面、目录、标题、页眉、页脚、页码、图、表内文字不作字体要求；</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2.颜色：正文统一用黑色，封面、目录、标题、页眉、页脚、页码、图、表内文字不作颜色要求；</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3.行距：全篇文字1.5倍行距；</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4.内容：全文（包括但不限于文字、图片、表格等）均不得出现投标人的名称和可识别投标人及其所属集团身份的字符、徽标、人员名称以及其他特殊标记等信息；</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5.页面：正文采用A4纵向布局，图、表不作布局要求；</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rPr>
              <w:t>6.生成投标文件时，技术部分标书无需进行电子签章。</w:t>
            </w:r>
          </w:p>
        </w:tc>
      </w:tr>
      <w:tr>
        <w:tblPrEx>
          <w:tblCellMar>
            <w:top w:w="0" w:type="dxa"/>
            <w:left w:w="0" w:type="dxa"/>
            <w:bottom w:w="0" w:type="dxa"/>
            <w:right w:w="0" w:type="dxa"/>
          </w:tblCellMar>
        </w:tblPrEx>
        <w:trPr>
          <w:trHeight w:val="926"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7.1</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是否授权评标委员会确定中标人</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是</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否，推荐的中标候选人数：</w:t>
            </w:r>
            <w:r>
              <w:rPr>
                <w:rFonts w:hint="eastAsia" w:asciiTheme="minorEastAsia" w:hAnsiTheme="minorEastAsia" w:eastAsiaTheme="minorEastAsia" w:cstheme="minorEastAsia"/>
                <w:color w:val="auto"/>
                <w:kern w:val="0"/>
                <w:sz w:val="21"/>
                <w:szCs w:val="21"/>
                <w:highlight w:val="none"/>
                <w:u w:val="single"/>
                <w:lang w:eastAsia="zh-CN"/>
              </w:rPr>
              <w:t xml:space="preserve">      </w:t>
            </w:r>
          </w:p>
        </w:tc>
      </w:tr>
      <w:tr>
        <w:tblPrEx>
          <w:tblCellMar>
            <w:top w:w="0" w:type="dxa"/>
            <w:left w:w="0" w:type="dxa"/>
            <w:bottom w:w="0" w:type="dxa"/>
            <w:right w:w="0" w:type="dxa"/>
          </w:tblCellMar>
        </w:tblPrEx>
        <w:trPr>
          <w:trHeight w:val="1368" w:hRule="exact"/>
          <w:jc w:val="center"/>
        </w:trPr>
        <w:tc>
          <w:tcPr>
            <w:tcW w:w="9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7.2</w:t>
            </w:r>
          </w:p>
        </w:tc>
        <w:tc>
          <w:tcPr>
            <w:tcW w:w="277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中标候选人公示媒介</w:t>
            </w:r>
          </w:p>
        </w:tc>
        <w:tc>
          <w:tcPr>
            <w:tcW w:w="540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云南省公共资源交易信息网（https://ggzy.yn.gov.cn/）及</w:t>
            </w:r>
            <w:r>
              <w:rPr>
                <w:rFonts w:hint="eastAsia" w:asciiTheme="minorEastAsia" w:hAnsiTheme="minorEastAsia" w:eastAsiaTheme="minorEastAsia" w:cstheme="minorEastAsia"/>
                <w:color w:val="auto"/>
                <w:kern w:val="0"/>
                <w:sz w:val="21"/>
                <w:szCs w:val="21"/>
                <w:highlight w:val="none"/>
                <w:u w:val="single"/>
                <w:lang w:eastAsia="zh-CN"/>
              </w:rPr>
              <w:t xml:space="preserve">      </w:t>
            </w:r>
          </w:p>
        </w:tc>
      </w:tr>
      <w:tr>
        <w:tblPrEx>
          <w:tblCellMar>
            <w:top w:w="0" w:type="dxa"/>
            <w:left w:w="0" w:type="dxa"/>
            <w:bottom w:w="0" w:type="dxa"/>
            <w:right w:w="0" w:type="dxa"/>
          </w:tblCellMar>
        </w:tblPrEx>
        <w:trPr>
          <w:trHeight w:val="1619" w:hRule="exact"/>
          <w:jc w:val="center"/>
        </w:trPr>
        <w:tc>
          <w:tcPr>
            <w:tcW w:w="955"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7.</w:t>
            </w:r>
            <w:r>
              <w:rPr>
                <w:rFonts w:hint="eastAsia" w:asciiTheme="minorEastAsia" w:hAnsiTheme="minorEastAsia" w:eastAsiaTheme="minorEastAsia" w:cstheme="minorEastAsia"/>
                <w:color w:val="auto"/>
                <w:kern w:val="0"/>
                <w:sz w:val="21"/>
                <w:szCs w:val="21"/>
                <w:highlight w:val="none"/>
                <w:lang w:val="en-US" w:eastAsia="zh-CN"/>
              </w:rPr>
              <w:t>4</w:t>
            </w:r>
          </w:p>
        </w:tc>
        <w:tc>
          <w:tcPr>
            <w:tcW w:w="2779"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履约担保</w:t>
            </w:r>
          </w:p>
        </w:tc>
        <w:tc>
          <w:tcPr>
            <w:tcW w:w="540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履约担保的形式：</w:t>
            </w:r>
            <w:r>
              <w:rPr>
                <w:rFonts w:hint="eastAsia" w:asciiTheme="minorEastAsia" w:hAnsiTheme="minorEastAsia" w:eastAsiaTheme="minorEastAsia" w:cstheme="minorEastAsia"/>
                <w:color w:val="auto"/>
                <w:kern w:val="0"/>
                <w:sz w:val="21"/>
                <w:szCs w:val="21"/>
                <w:highlight w:val="none"/>
                <w:u w:val="single"/>
                <w:lang w:eastAsia="zh-CN"/>
              </w:rPr>
              <w:t xml:space="preserve">      </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履约担保的金额：</w:t>
            </w:r>
            <w:r>
              <w:rPr>
                <w:rFonts w:hint="eastAsia" w:asciiTheme="minorEastAsia" w:hAnsiTheme="minorEastAsia" w:eastAsiaTheme="minorEastAsia" w:cstheme="minorEastAsia"/>
                <w:color w:val="auto"/>
                <w:kern w:val="0"/>
                <w:sz w:val="21"/>
                <w:szCs w:val="21"/>
                <w:highlight w:val="none"/>
                <w:u w:val="single"/>
                <w:lang w:eastAsia="zh-CN"/>
              </w:rPr>
              <w:t xml:space="preserve">      </w:t>
            </w:r>
          </w:p>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中标人应当向招标人提交履约保证金，履约保证金不得超过中标合同金额的5%-10%。</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8</w:t>
            </w:r>
          </w:p>
        </w:tc>
        <w:tc>
          <w:tcPr>
            <w:tcW w:w="2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重新招标和不再招标</w:t>
            </w:r>
          </w:p>
        </w:tc>
        <w:tc>
          <w:tcPr>
            <w:tcW w:w="54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u w:val="single"/>
                <w:lang w:val="en-US" w:eastAsia="en-US" w:bidi="ar-SA"/>
              </w:rPr>
            </w:pPr>
            <w:r>
              <w:rPr>
                <w:rFonts w:hint="eastAsia" w:asciiTheme="minorEastAsia" w:hAnsiTheme="minorEastAsia" w:eastAsiaTheme="minorEastAsia" w:cstheme="minorEastAsia"/>
                <w:color w:val="auto"/>
                <w:kern w:val="0"/>
                <w:sz w:val="21"/>
                <w:szCs w:val="21"/>
                <w:highlight w:val="none"/>
              </w:rPr>
              <w:t>见投标人须知</w:t>
            </w:r>
          </w:p>
        </w:tc>
      </w:tr>
      <w:tr>
        <w:tblPrEx>
          <w:tblCellMar>
            <w:top w:w="0" w:type="dxa"/>
            <w:left w:w="0" w:type="dxa"/>
            <w:bottom w:w="0" w:type="dxa"/>
            <w:right w:w="0" w:type="dxa"/>
          </w:tblCellMar>
        </w:tblPrEx>
        <w:trPr>
          <w:trHeight w:val="926" w:hRule="exact"/>
          <w:jc w:val="center"/>
        </w:trPr>
        <w:tc>
          <w:tcPr>
            <w:tcW w:w="9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9</w:t>
            </w:r>
          </w:p>
        </w:tc>
        <w:tc>
          <w:tcPr>
            <w:tcW w:w="27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纪律和监督</w:t>
            </w:r>
          </w:p>
        </w:tc>
        <w:tc>
          <w:tcPr>
            <w:tcW w:w="54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见投标人须知</w:t>
            </w:r>
          </w:p>
        </w:tc>
      </w:tr>
      <w:tr>
        <w:tblPrEx>
          <w:tblCellMar>
            <w:top w:w="0" w:type="dxa"/>
            <w:left w:w="0" w:type="dxa"/>
            <w:bottom w:w="0" w:type="dxa"/>
            <w:right w:w="0" w:type="dxa"/>
          </w:tblCellMar>
        </w:tblPrEx>
        <w:trPr>
          <w:trHeight w:val="926" w:hRule="exact"/>
          <w:jc w:val="center"/>
        </w:trPr>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default"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10</w:t>
            </w:r>
          </w:p>
        </w:tc>
        <w:tc>
          <w:tcPr>
            <w:tcW w:w="0" w:type="auto"/>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kern w:val="0"/>
                <w:sz w:val="21"/>
                <w:szCs w:val="21"/>
                <w:highlight w:val="none"/>
                <w:lang w:val="en-US" w:eastAsia="en-US" w:bidi="ar-SA"/>
              </w:rPr>
            </w:pPr>
            <w:r>
              <w:rPr>
                <w:rFonts w:hint="eastAsia" w:asciiTheme="minorEastAsia" w:hAnsiTheme="minorEastAsia" w:eastAsiaTheme="minorEastAsia" w:cstheme="minorEastAsia"/>
                <w:color w:val="auto"/>
                <w:kern w:val="0"/>
                <w:sz w:val="21"/>
                <w:szCs w:val="21"/>
                <w:highlight w:val="none"/>
              </w:rPr>
              <w:t>需要补充的其他内容</w:t>
            </w:r>
          </w:p>
        </w:tc>
        <w:tc>
          <w:tcPr>
            <w:tcW w:w="540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autoSpaceDE w:val="0"/>
              <w:autoSpaceDN w:val="0"/>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kern w:val="0"/>
                <w:sz w:val="21"/>
                <w:szCs w:val="21"/>
                <w:highlight w:val="none"/>
              </w:rPr>
            </w:pPr>
          </w:p>
        </w:tc>
      </w:tr>
    </w:tbl>
    <w:p>
      <w:pPr>
        <w:keepNext w:val="0"/>
        <w:keepLines w:val="0"/>
        <w:pageBreakBefore w:val="0"/>
        <w:widowControl w:val="0"/>
        <w:kinsoku/>
        <w:wordWrap/>
        <w:overflowPunct/>
        <w:bidi w:val="0"/>
        <w:adjustRightInd w:val="0"/>
        <w:snapToGrid w:val="0"/>
        <w:spacing w:after="0" w:line="360" w:lineRule="auto"/>
        <w:ind w:left="0" w:right="0" w:firstLine="0" w:firstLineChars="0"/>
        <w:jc w:val="both"/>
        <w:textAlignment w:val="auto"/>
        <w:rPr>
          <w:rFonts w:ascii="宋体" w:hAnsi="宋体" w:eastAsia="宋体" w:cs="宋体"/>
          <w:color w:val="auto"/>
          <w:sz w:val="21"/>
          <w:szCs w:val="21"/>
          <w:highlight w:val="none"/>
        </w:rPr>
        <w:sectPr>
          <w:footerReference r:id="rId6" w:type="default"/>
          <w:pgSz w:w="11910" w:h="16840"/>
          <w:pgMar w:top="1580" w:right="1300" w:bottom="1340" w:left="1360" w:header="0" w:footer="1157" w:gutter="0"/>
          <w:pgNumType w:fmt="decimal" w:start="1"/>
          <w:cols w:space="720" w:num="1"/>
        </w:sectPr>
      </w:pPr>
      <w:bookmarkStart w:id="34" w:name="1. 总则"/>
      <w:bookmarkEnd w:id="34"/>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1"/>
        <w:rPr>
          <w:rFonts w:hint="eastAsia" w:ascii="黑体" w:hAnsi="黑体" w:eastAsia="黑体"/>
          <w:b w:val="0"/>
          <w:bCs/>
          <w:color w:val="auto"/>
          <w:sz w:val="32"/>
          <w:highlight w:val="none"/>
        </w:rPr>
      </w:pPr>
      <w:bookmarkStart w:id="35" w:name="_Toc11695"/>
      <w:bookmarkStart w:id="36" w:name="_Toc23589"/>
      <w:r>
        <w:rPr>
          <w:rFonts w:hint="eastAsia" w:ascii="黑体" w:hAnsi="黑体" w:eastAsia="黑体"/>
          <w:b w:val="0"/>
          <w:bCs/>
          <w:color w:val="auto"/>
          <w:sz w:val="32"/>
          <w:highlight w:val="none"/>
        </w:rPr>
        <w:t>投标人须知正文部分</w:t>
      </w:r>
      <w:bookmarkEnd w:id="35"/>
      <w:bookmarkEnd w:id="36"/>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color w:val="auto"/>
          <w:sz w:val="28"/>
          <w:szCs w:val="28"/>
          <w:highlight w:val="none"/>
        </w:rPr>
      </w:pPr>
      <w:bookmarkStart w:id="37" w:name="_bookmark25"/>
      <w:bookmarkEnd w:id="37"/>
      <w:bookmarkStart w:id="38" w:name="_Toc28420"/>
      <w:r>
        <w:rPr>
          <w:rFonts w:hint="eastAsia" w:ascii="黑体" w:hAnsi="黑体" w:eastAsia="黑体" w:cs="黑体"/>
          <w:b/>
          <w:bCs/>
          <w:color w:val="auto"/>
          <w:sz w:val="28"/>
          <w:szCs w:val="28"/>
          <w:highlight w:val="none"/>
        </w:rPr>
        <w:t>1.</w:t>
      </w:r>
      <w:r>
        <w:rPr>
          <w:rFonts w:hint="eastAsia" w:ascii="黑体" w:hAnsi="黑体" w:eastAsia="黑体" w:cs="黑体"/>
          <w:b/>
          <w:bCs/>
          <w:color w:val="auto"/>
          <w:spacing w:val="-6"/>
          <w:sz w:val="28"/>
          <w:szCs w:val="28"/>
          <w:highlight w:val="none"/>
        </w:rPr>
        <w:t xml:space="preserve"> </w:t>
      </w:r>
      <w:r>
        <w:rPr>
          <w:rFonts w:hint="eastAsia" w:ascii="黑体" w:hAnsi="黑体" w:eastAsia="黑体" w:cs="黑体"/>
          <w:b/>
          <w:bCs/>
          <w:color w:val="auto"/>
          <w:sz w:val="28"/>
          <w:szCs w:val="28"/>
          <w:highlight w:val="none"/>
        </w:rPr>
        <w:t>总则</w:t>
      </w:r>
      <w:bookmarkEnd w:id="38"/>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39" w:name="1.1 项目概况"/>
      <w:bookmarkEnd w:id="39"/>
      <w:bookmarkStart w:id="40" w:name="_bookmark26"/>
      <w:bookmarkEnd w:id="40"/>
      <w:r>
        <w:rPr>
          <w:rFonts w:ascii="黑体" w:hAnsi="黑体" w:eastAsia="黑体" w:cs="黑体"/>
          <w:color w:val="auto"/>
          <w:sz w:val="28"/>
          <w:szCs w:val="28"/>
          <w:highlight w:val="none"/>
        </w:rPr>
        <w:t>1.1</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项目概况</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1.1.1</w:t>
      </w:r>
      <w:r>
        <w:rPr>
          <w:color w:val="auto"/>
          <w:spacing w:val="-52"/>
          <w:highlight w:val="none"/>
        </w:rPr>
        <w:t xml:space="preserve"> </w:t>
      </w:r>
      <w:r>
        <w:rPr>
          <w:rFonts w:hint="eastAsia"/>
          <w:color w:val="auto"/>
          <w:spacing w:val="-52"/>
          <w:highlight w:val="none"/>
          <w:lang w:val="en-US" w:eastAsia="zh-CN"/>
        </w:rPr>
        <w:t xml:space="preserve">   </w:t>
      </w:r>
      <w:r>
        <w:rPr>
          <w:color w:val="auto"/>
          <w:highlight w:val="none"/>
        </w:rPr>
        <w:t>根据《中华人民共和国招标投标法》等有关法律、法规和规章的规定，本招标项目已具备招标条件，现对本标段施工进行招标。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1.1.2</w:t>
      </w:r>
      <w:r>
        <w:rPr>
          <w:color w:val="auto"/>
          <w:spacing w:val="-13"/>
          <w:highlight w:val="none"/>
        </w:rPr>
        <w:t xml:space="preserve"> </w:t>
      </w:r>
      <w:r>
        <w:rPr>
          <w:rFonts w:hint="eastAsia"/>
          <w:color w:val="auto"/>
          <w:spacing w:val="-13"/>
          <w:highlight w:val="none"/>
          <w:lang w:val="en-US" w:eastAsia="zh-CN"/>
        </w:rPr>
        <w:t xml:space="preserve"> </w:t>
      </w:r>
      <w:r>
        <w:rPr>
          <w:color w:val="auto"/>
          <w:highlight w:val="none"/>
        </w:rPr>
        <w:t>本招标项目招标人：见投标人须知前附表。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1.1.3</w:t>
      </w:r>
      <w:r>
        <w:rPr>
          <w:color w:val="auto"/>
          <w:spacing w:val="-15"/>
          <w:highlight w:val="none"/>
        </w:rPr>
        <w:t xml:space="preserve"> </w:t>
      </w:r>
      <w:r>
        <w:rPr>
          <w:rFonts w:hint="eastAsia"/>
          <w:color w:val="auto"/>
          <w:spacing w:val="-15"/>
          <w:highlight w:val="none"/>
          <w:lang w:val="en-US" w:eastAsia="zh-CN"/>
        </w:rPr>
        <w:t xml:space="preserve"> </w:t>
      </w:r>
      <w:r>
        <w:rPr>
          <w:color w:val="auto"/>
          <w:highlight w:val="none"/>
        </w:rPr>
        <w:t>本标段招标代理机构：见投标人须知前附表。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1.1.4</w:t>
      </w:r>
      <w:r>
        <w:rPr>
          <w:color w:val="auto"/>
          <w:spacing w:val="-14"/>
          <w:highlight w:val="none"/>
        </w:rPr>
        <w:t xml:space="preserve"> </w:t>
      </w:r>
      <w:r>
        <w:rPr>
          <w:rFonts w:hint="eastAsia"/>
          <w:color w:val="auto"/>
          <w:spacing w:val="-14"/>
          <w:highlight w:val="none"/>
          <w:lang w:val="en-US" w:eastAsia="zh-CN"/>
        </w:rPr>
        <w:t xml:space="preserve"> </w:t>
      </w:r>
      <w:r>
        <w:rPr>
          <w:color w:val="auto"/>
          <w:highlight w:val="none"/>
        </w:rPr>
        <w:t>本招标项目名称：见投标人须知前附表。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ascii="宋体" w:hAnsi="宋体" w:eastAsia="宋体" w:cs="宋体"/>
          <w:color w:val="auto"/>
          <w:sz w:val="15"/>
          <w:szCs w:val="15"/>
          <w:highlight w:val="none"/>
        </w:rPr>
      </w:pPr>
      <w:r>
        <w:rPr>
          <w:color w:val="auto"/>
          <w:highlight w:val="none"/>
        </w:rPr>
        <w:t>1.1.5</w:t>
      </w:r>
      <w:r>
        <w:rPr>
          <w:color w:val="auto"/>
          <w:spacing w:val="-14"/>
          <w:highlight w:val="none"/>
        </w:rPr>
        <w:t xml:space="preserve"> </w:t>
      </w:r>
      <w:r>
        <w:rPr>
          <w:rFonts w:hint="eastAsia"/>
          <w:color w:val="auto"/>
          <w:spacing w:val="-14"/>
          <w:highlight w:val="none"/>
          <w:lang w:val="en-US" w:eastAsia="zh-CN"/>
        </w:rPr>
        <w:t xml:space="preserve"> </w:t>
      </w:r>
      <w:r>
        <w:rPr>
          <w:color w:val="auto"/>
          <w:highlight w:val="none"/>
        </w:rPr>
        <w:t>本标段建设地点：见投标人须知前附表。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41" w:name="_bookmark27"/>
      <w:bookmarkEnd w:id="41"/>
      <w:bookmarkStart w:id="42" w:name="1.2 资金来源和落实情况"/>
      <w:bookmarkEnd w:id="42"/>
      <w:r>
        <w:rPr>
          <w:rFonts w:ascii="黑体" w:hAnsi="黑体" w:eastAsia="黑体" w:cs="黑体"/>
          <w:color w:val="auto"/>
          <w:sz w:val="28"/>
          <w:szCs w:val="28"/>
          <w:highlight w:val="none"/>
        </w:rPr>
        <w:t>1.2 资金来源和落实情况</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1.2.1 </w:t>
      </w:r>
      <w:r>
        <w:rPr>
          <w:rFonts w:hint="eastAsia"/>
          <w:color w:val="auto"/>
          <w:highlight w:val="none"/>
          <w:lang w:val="en-US" w:eastAsia="zh-CN"/>
        </w:rPr>
        <w:t xml:space="preserve"> </w:t>
      </w:r>
      <w:r>
        <w:rPr>
          <w:color w:val="auto"/>
          <w:highlight w:val="none"/>
        </w:rPr>
        <w:t>本招标项目的资金来源：见投标人须知前附表。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1.2.2 </w:t>
      </w:r>
      <w:r>
        <w:rPr>
          <w:rFonts w:hint="eastAsia"/>
          <w:color w:val="auto"/>
          <w:highlight w:val="none"/>
          <w:lang w:val="en-US" w:eastAsia="zh-CN"/>
        </w:rPr>
        <w:t xml:space="preserve"> </w:t>
      </w:r>
      <w:r>
        <w:rPr>
          <w:color w:val="auto"/>
          <w:highlight w:val="none"/>
        </w:rPr>
        <w:t>本招标项目的出资比例：见投标人须知前附表。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1.2.3 </w:t>
      </w:r>
      <w:r>
        <w:rPr>
          <w:rFonts w:hint="eastAsia"/>
          <w:color w:val="auto"/>
          <w:highlight w:val="none"/>
          <w:lang w:val="en-US" w:eastAsia="zh-CN"/>
        </w:rPr>
        <w:t xml:space="preserve"> </w:t>
      </w:r>
      <w:r>
        <w:rPr>
          <w:color w:val="auto"/>
          <w:highlight w:val="none"/>
        </w:rPr>
        <w:t>本招标项目的资金落实情况：见投标人须知前附表。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43" w:name="_bookmark28"/>
      <w:bookmarkEnd w:id="43"/>
      <w:bookmarkStart w:id="44" w:name="1.3 招标范围、计划工期和质量要求"/>
      <w:bookmarkEnd w:id="44"/>
      <w:r>
        <w:rPr>
          <w:rFonts w:ascii="黑体" w:hAnsi="黑体" w:eastAsia="黑体" w:cs="黑体"/>
          <w:color w:val="auto"/>
          <w:sz w:val="28"/>
          <w:szCs w:val="28"/>
          <w:highlight w:val="none"/>
        </w:rPr>
        <w:t>1.3 招标范围、计划工期和质量要求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1.3.1 </w:t>
      </w:r>
      <w:r>
        <w:rPr>
          <w:rFonts w:hint="eastAsia"/>
          <w:color w:val="auto"/>
          <w:highlight w:val="none"/>
          <w:lang w:val="en-US" w:eastAsia="zh-CN"/>
        </w:rPr>
        <w:t xml:space="preserve"> </w:t>
      </w:r>
      <w:r>
        <w:rPr>
          <w:color w:val="auto"/>
          <w:highlight w:val="none"/>
        </w:rPr>
        <w:t>本次招标范围：见投标人须知前附表。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1.3.2 </w:t>
      </w:r>
      <w:r>
        <w:rPr>
          <w:rFonts w:hint="eastAsia"/>
          <w:color w:val="auto"/>
          <w:highlight w:val="none"/>
          <w:lang w:val="en-US" w:eastAsia="zh-CN"/>
        </w:rPr>
        <w:t xml:space="preserve"> </w:t>
      </w:r>
      <w:r>
        <w:rPr>
          <w:color w:val="auto"/>
          <w:highlight w:val="none"/>
        </w:rPr>
        <w:t>本标段的计划工期：见投标人须知前附表。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1.3.3 </w:t>
      </w:r>
      <w:r>
        <w:rPr>
          <w:rFonts w:hint="eastAsia"/>
          <w:color w:val="auto"/>
          <w:highlight w:val="none"/>
          <w:lang w:val="en-US" w:eastAsia="zh-CN"/>
        </w:rPr>
        <w:t xml:space="preserve"> </w:t>
      </w:r>
      <w:r>
        <w:rPr>
          <w:color w:val="auto"/>
          <w:highlight w:val="none"/>
        </w:rPr>
        <w:t>本标段的质量要求：见投标人须知前附表。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45" w:name="_bookmark29"/>
      <w:bookmarkEnd w:id="45"/>
      <w:bookmarkStart w:id="46" w:name="1.4 投标人资格要求（适用于已进行资格预审的）"/>
      <w:bookmarkEnd w:id="46"/>
      <w:r>
        <w:rPr>
          <w:rFonts w:ascii="黑体" w:hAnsi="黑体" w:eastAsia="黑体" w:cs="黑体"/>
          <w:color w:val="auto"/>
          <w:sz w:val="28"/>
          <w:szCs w:val="28"/>
          <w:highlight w:val="none"/>
        </w:rPr>
        <w:t>1.4 投标人资格要求（适用于已进行资格预审的）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投标人应是收到招标人发出投标邀请书的单位。</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47" w:name="_bookmark30"/>
      <w:bookmarkEnd w:id="47"/>
      <w:bookmarkStart w:id="48" w:name="1.4 投标人资格要求（适用于未进行资格预审的）"/>
      <w:bookmarkEnd w:id="48"/>
      <w:r>
        <w:rPr>
          <w:rFonts w:ascii="黑体" w:hAnsi="黑体" w:eastAsia="黑体" w:cs="黑体"/>
          <w:color w:val="auto"/>
          <w:sz w:val="28"/>
          <w:szCs w:val="28"/>
          <w:highlight w:val="none"/>
        </w:rPr>
        <w:t>1.4 投标人资格要求（适用于未进行资格预审的）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1.4.1 投标人应具备承担本标段施工的资质条件、能力和信誉。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（1）资质条件：见投标人须知前附表；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（2）财务要求：见投标人须知前附表；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（3）业绩要求：见投标人须知前附表；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（4）信誉要求：见投标人须知前附表;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（5）</w:t>
      </w:r>
      <w:r>
        <w:rPr>
          <w:rFonts w:hint="eastAsia"/>
          <w:color w:val="auto"/>
          <w:highlight w:val="none"/>
          <w:lang w:eastAsia="zh-CN"/>
        </w:rPr>
        <w:t>项目负责人</w:t>
      </w:r>
      <w:r>
        <w:rPr>
          <w:color w:val="auto"/>
          <w:highlight w:val="none"/>
        </w:rPr>
        <w:t>资格：见投标人须知前附表；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（6）其他要求：见投标人须知前附表。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lang w:val="en-US" w:eastAsia="en-US"/>
        </w:rPr>
      </w:pPr>
      <w:r>
        <w:rPr>
          <w:color w:val="auto"/>
          <w:highlight w:val="none"/>
          <w:lang w:val="en-US" w:eastAsia="en-US"/>
        </w:rPr>
        <w:t>1.4.2</w:t>
      </w:r>
      <w:r>
        <w:rPr>
          <w:rFonts w:hint="eastAsia"/>
          <w:color w:val="auto"/>
          <w:highlight w:val="none"/>
          <w:lang w:val="en-US" w:eastAsia="zh-CN"/>
        </w:rPr>
        <w:t xml:space="preserve"> </w:t>
      </w:r>
      <w:r>
        <w:rPr>
          <w:color w:val="auto"/>
          <w:highlight w:val="none"/>
          <w:lang w:val="en-US" w:eastAsia="en-US"/>
        </w:rPr>
        <w:t>投标人须知前附表规定接受联合体投标的，除应符合本章第 1.4.1 项和投标人须知前 附表的要求外，还应遵守以下规定：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（1）联合体各方应按招标文件提供的格式签订联合体协议书，明确联合体牵头人和各方权利义务；</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（2）由同一专业的单位组成的联合体，按照资质等级较低的单位确定资质等级；</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（3）联合体各方不得再以自己名义单独或参加其他联合体在同一标段中投标。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1.4.3 </w:t>
      </w:r>
      <w:r>
        <w:rPr>
          <w:rFonts w:hint="eastAsia"/>
          <w:color w:val="auto"/>
          <w:highlight w:val="none"/>
          <w:lang w:val="en-US" w:eastAsia="zh-CN"/>
        </w:rPr>
        <w:t xml:space="preserve"> </w:t>
      </w:r>
      <w:r>
        <w:rPr>
          <w:color w:val="auto"/>
          <w:highlight w:val="none"/>
        </w:rPr>
        <w:t>投标人不得存在下列情形之一：</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（1）为招标人不具有独立法人资格的附属机构（单位）；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（2）与招标人存在利害关系且可能影响招标公正性；</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（3）与本招标项目的其他投标人为同一个单位负责人；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（4）与本招标项目的其他投标人存在控股、管理关系；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（5）为本招标项目的代建人；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（6）为本招标项目的招标代理机构；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（7）与本招标项目的代建人或招标代理机构同为一个法定代表人；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（8）与本招标项目的代建人或招标代理机构存在控股或参股关系；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（9）为本标段前期准备提供设计或咨询服务的；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（10）被依法暂停或者取消投标资格；</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（11）被责令停业，暂扣或者吊销执照，或吊销资质证书；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（12）进入清算程序，或被宣告破产，或其他丧失履约能力的情形；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（13）本项目规定的失信行为：</w:t>
      </w:r>
      <w:r>
        <w:rPr>
          <w:color w:val="auto"/>
          <w:highlight w:val="none"/>
        </w:rPr>
        <w:tab/>
      </w:r>
      <w:r>
        <w:rPr>
          <w:color w:val="auto"/>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（14）法律法规或投标人须知前附表规定的其他情形。 投标人存在上述情形之一的，其投标应当被否决。</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49" w:name="_bookmark31"/>
      <w:bookmarkEnd w:id="49"/>
      <w:bookmarkStart w:id="50" w:name="1.5 费用承担"/>
      <w:bookmarkEnd w:id="50"/>
      <w:r>
        <w:rPr>
          <w:rFonts w:ascii="黑体" w:hAnsi="黑体" w:eastAsia="黑体" w:cs="黑体"/>
          <w:color w:val="auto"/>
          <w:sz w:val="28"/>
          <w:szCs w:val="28"/>
          <w:highlight w:val="none"/>
        </w:rPr>
        <w:t>1.5 费用承担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投标人准备和参加投标活动发生的费用自理。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51" w:name="1.6 保密"/>
      <w:bookmarkEnd w:id="51"/>
      <w:bookmarkStart w:id="52" w:name="_bookmark32"/>
      <w:bookmarkEnd w:id="52"/>
      <w:r>
        <w:rPr>
          <w:rFonts w:ascii="黑体" w:hAnsi="黑体" w:eastAsia="黑体" w:cs="黑体"/>
          <w:color w:val="auto"/>
          <w:sz w:val="28"/>
          <w:szCs w:val="28"/>
          <w:highlight w:val="none"/>
        </w:rPr>
        <w:t>1.6 保密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参与招标投标活动的各方应对招标文件和投标文件中的商业和技术等秘密保密，违者应对由此造成的后果承担法律责任。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53" w:name="1.7 语言文字"/>
      <w:bookmarkEnd w:id="53"/>
      <w:bookmarkStart w:id="54" w:name="_bookmark33"/>
      <w:bookmarkEnd w:id="54"/>
      <w:r>
        <w:rPr>
          <w:rFonts w:ascii="黑体" w:hAnsi="黑体" w:eastAsia="黑体" w:cs="黑体"/>
          <w:color w:val="auto"/>
          <w:sz w:val="28"/>
          <w:szCs w:val="28"/>
          <w:highlight w:val="none"/>
        </w:rPr>
        <w:t>1.7 语言文字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除专用术语外，与招标投标有关的语言均使用中文。必要时专用术语应附有中文注释。</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55" w:name="1.8 计量单位"/>
      <w:bookmarkEnd w:id="55"/>
      <w:bookmarkStart w:id="56" w:name="_bookmark34"/>
      <w:bookmarkEnd w:id="56"/>
      <w:r>
        <w:rPr>
          <w:rFonts w:ascii="黑体" w:hAnsi="黑体" w:eastAsia="黑体" w:cs="黑体"/>
          <w:color w:val="auto"/>
          <w:sz w:val="28"/>
          <w:szCs w:val="28"/>
          <w:highlight w:val="none"/>
        </w:rPr>
        <w:t>1.8 计量单位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所有计量均采用中华人民共和国法定计量单位。</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57" w:name="_bookmark35"/>
      <w:bookmarkEnd w:id="57"/>
      <w:bookmarkStart w:id="58" w:name="1.9 踏勘现场"/>
      <w:bookmarkEnd w:id="58"/>
      <w:r>
        <w:rPr>
          <w:rFonts w:ascii="黑体" w:hAnsi="黑体" w:eastAsia="黑体" w:cs="黑体"/>
          <w:color w:val="auto"/>
          <w:sz w:val="28"/>
          <w:szCs w:val="28"/>
          <w:highlight w:val="none"/>
        </w:rPr>
        <w:t>1.9 踏勘现场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1.9.1 投标人须知前附表规定组织踏勘现场的，招标人按投标人须知前附表规定的时间、地 点组织投标人踏勘项目现场。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1.9.2 投标人踏勘现场发生的费用自理。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1.9.3 除招标人的原因外，投标人自行负责在踏勘现场中所发生的人员伤亡和财产损失。</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1.9.4 招标人在踏勘现场中介绍的工程场地和相关的周边环境情况，供投标人在编制投标文 件时参考，招标人不对投标人据此作出的判断和决策负责。</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59" w:name="_bookmark36"/>
      <w:bookmarkEnd w:id="59"/>
      <w:bookmarkStart w:id="60" w:name="1.10 投标预备会"/>
      <w:bookmarkEnd w:id="60"/>
      <w:r>
        <w:rPr>
          <w:rFonts w:ascii="黑体" w:hAnsi="黑体" w:eastAsia="黑体" w:cs="黑体"/>
          <w:color w:val="auto"/>
          <w:sz w:val="28"/>
          <w:szCs w:val="28"/>
          <w:highlight w:val="none"/>
        </w:rPr>
        <w:t>1.10 投标预备会</w:t>
      </w:r>
    </w:p>
    <w:p>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bookmarkStart w:id="61" w:name="_bookmark37"/>
      <w:bookmarkEnd w:id="61"/>
      <w:bookmarkStart w:id="62" w:name="1.11 分包"/>
      <w:bookmarkEnd w:id="62"/>
      <w:r>
        <w:rPr>
          <w:rFonts w:hint="eastAsia" w:ascii="宋体" w:hAnsi="宋体" w:eastAsia="宋体" w:cs="Times New Roman"/>
          <w:color w:val="auto"/>
          <w:kern w:val="0"/>
          <w:sz w:val="21"/>
          <w:szCs w:val="24"/>
          <w:highlight w:val="none"/>
          <w:lang w:eastAsia="zh-CN"/>
        </w:rPr>
        <w:t>1.10.1投标人须知前附表规定召开投标预备会的，招标人按投标人须知前附表规定的相关内容召开投标预备会，澄清投标人提出的问题。</w:t>
      </w:r>
    </w:p>
    <w:p>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1.10.2投标人应在投标人须知前附表规定的时间前，所有获取了招标文件的潜在投标人凭企业数字证书（CA）登录“网站：</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input720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云南省公共资源交易信息网</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，网址：</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input721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https://ggzy.yn.gov.cn/homePage</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”，通过网络在线方式向招标人或招标代理进行署名提问，招标人或招标代理需对所有潜在投标人进行统一回复。</w:t>
      </w:r>
    </w:p>
    <w:p>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1.10.3投标预备会后，招标人在投标人须知前附表规定的时间内，将对投标人所提问题的澄清，由招标人以补遗书方式按程序报有关主管部门备案后，提交公共资源交易中心统一通过网络向潜在投标人发布，所有获取了招标文件的潜在投标人登录“网站：</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input722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云南省公共资源交易信息网</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，网址：</w:t>
      </w:r>
      <w:r>
        <w:rPr>
          <w:rFonts w:ascii="宋体" w:hAnsi="宋体" w:eastAsia="宋体" w:cs="Times New Roman"/>
          <w:color w:val="auto"/>
          <w:kern w:val="0"/>
          <w:sz w:val="21"/>
          <w:szCs w:val="24"/>
          <w:highlight w:val="none"/>
          <w:u w:val="single"/>
          <w:lang w:eastAsia="zh-CN"/>
        </w:rPr>
        <w:fldChar w:fldCharType="begin"/>
      </w:r>
      <w:r>
        <w:rPr>
          <w:rFonts w:ascii="宋体" w:hAnsi="宋体" w:eastAsia="宋体" w:cs="Times New Roman"/>
          <w:color w:val="auto"/>
          <w:kern w:val="0"/>
          <w:sz w:val="21"/>
          <w:szCs w:val="24"/>
          <w:highlight w:val="none"/>
          <w:u w:val="single"/>
          <w:lang w:eastAsia="zh-CN"/>
        </w:rPr>
        <w:instrText xml:space="preserve"> </w:instrText>
      </w:r>
      <w:r>
        <w:rPr>
          <w:rFonts w:hint="eastAsia" w:ascii="宋体" w:hAnsi="宋体" w:eastAsia="宋体" w:cs="Times New Roman"/>
          <w:color w:val="auto"/>
          <w:kern w:val="0"/>
          <w:sz w:val="21"/>
          <w:szCs w:val="24"/>
          <w:highlight w:val="none"/>
          <w:u w:val="single"/>
          <w:lang w:eastAsia="zh-CN"/>
        </w:rPr>
        <w:instrText xml:space="preserve">AUTOTEXT  input723 \* MERGEFORMAT</w:instrText>
      </w:r>
      <w:r>
        <w:rPr>
          <w:rFonts w:ascii="宋体" w:hAnsi="宋体" w:eastAsia="宋体" w:cs="Times New Roman"/>
          <w:color w:val="auto"/>
          <w:kern w:val="0"/>
          <w:sz w:val="21"/>
          <w:szCs w:val="24"/>
          <w:highlight w:val="none"/>
          <w:u w:val="single"/>
          <w:lang w:eastAsia="zh-CN"/>
        </w:rPr>
        <w:instrText xml:space="preserve"> </w:instrText>
      </w:r>
      <w:r>
        <w:rPr>
          <w:rFonts w:ascii="宋体" w:hAnsi="宋体" w:eastAsia="宋体" w:cs="Times New Roman"/>
          <w:color w:val="auto"/>
          <w:kern w:val="0"/>
          <w:sz w:val="21"/>
          <w:szCs w:val="24"/>
          <w:highlight w:val="none"/>
          <w:u w:val="single"/>
          <w:lang w:eastAsia="zh-CN"/>
        </w:rPr>
        <w:fldChar w:fldCharType="separate"/>
      </w:r>
      <w:r>
        <w:rPr>
          <w:rFonts w:hint="eastAsia" w:ascii="宋体" w:hAnsi="宋体" w:eastAsia="宋体" w:cs="Times New Roman"/>
          <w:color w:val="auto"/>
          <w:kern w:val="0"/>
          <w:sz w:val="21"/>
          <w:szCs w:val="24"/>
          <w:highlight w:val="none"/>
          <w:u w:val="single"/>
          <w:lang w:eastAsia="zh-CN"/>
        </w:rPr>
        <w:t>https://ggzy.yn.gov.cn/homePage</w:t>
      </w:r>
      <w:r>
        <w:rPr>
          <w:rFonts w:ascii="宋体" w:hAnsi="宋体" w:eastAsia="宋体" w:cs="Times New Roman"/>
          <w:color w:val="auto"/>
          <w:kern w:val="0"/>
          <w:sz w:val="21"/>
          <w:szCs w:val="24"/>
          <w:highlight w:val="none"/>
          <w:u w:val="single"/>
          <w:lang w:eastAsia="zh-CN"/>
        </w:rPr>
        <w:fldChar w:fldCharType="end"/>
      </w:r>
      <w:r>
        <w:rPr>
          <w:rFonts w:hint="eastAsia" w:ascii="宋体" w:hAnsi="宋体" w:eastAsia="宋体" w:cs="Times New Roman"/>
          <w:color w:val="auto"/>
          <w:kern w:val="0"/>
          <w:sz w:val="21"/>
          <w:szCs w:val="24"/>
          <w:highlight w:val="none"/>
          <w:lang w:eastAsia="zh-CN"/>
        </w:rPr>
        <w:t>”凭企业身份认证数字证书（CA）查看澄清内容。</w:t>
      </w:r>
      <w:r>
        <w:rPr>
          <w:rFonts w:ascii="宋体" w:hAnsi="宋体" w:eastAsia="宋体" w:cs="Times New Roman"/>
          <w:color w:val="auto"/>
          <w:kern w:val="0"/>
          <w:sz w:val="21"/>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r>
        <w:rPr>
          <w:rFonts w:ascii="黑体" w:hAnsi="黑体" w:eastAsia="黑体" w:cs="黑体"/>
          <w:color w:val="auto"/>
          <w:sz w:val="28"/>
          <w:szCs w:val="28"/>
          <w:highlight w:val="none"/>
        </w:rPr>
        <w:t>1.11 分包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63" w:name="_bookmark38"/>
      <w:bookmarkEnd w:id="63"/>
      <w:bookmarkStart w:id="64" w:name="1.12 偏离"/>
      <w:bookmarkEnd w:id="64"/>
      <w:r>
        <w:rPr>
          <w:rFonts w:ascii="黑体" w:hAnsi="黑体" w:eastAsia="黑体" w:cs="黑体"/>
          <w:color w:val="auto"/>
          <w:sz w:val="28"/>
          <w:szCs w:val="28"/>
          <w:highlight w:val="none"/>
        </w:rPr>
        <w:t>1.12 偏离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投标人须知前附表允许投标文件偏离招标文件某些要求的，偏离应当符合招标文件规定的偏 离范围和幅度。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65" w:name="2. 招标文件"/>
      <w:bookmarkEnd w:id="65"/>
      <w:bookmarkStart w:id="66" w:name="_bookmark39"/>
      <w:bookmarkEnd w:id="66"/>
      <w:bookmarkStart w:id="67" w:name="_Toc9940"/>
      <w:r>
        <w:rPr>
          <w:rFonts w:ascii="黑体" w:hAnsi="黑体" w:eastAsia="黑体" w:cs="黑体"/>
          <w:b/>
          <w:bCs/>
          <w:color w:val="auto"/>
          <w:sz w:val="28"/>
          <w:szCs w:val="28"/>
          <w:highlight w:val="none"/>
        </w:rPr>
        <w:t>2.</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招标文件</w:t>
      </w:r>
      <w:bookmarkEnd w:id="67"/>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68" w:name="2.1 招标文件的组成"/>
      <w:bookmarkEnd w:id="68"/>
      <w:bookmarkStart w:id="69" w:name="_bookmark40"/>
      <w:bookmarkEnd w:id="69"/>
      <w:r>
        <w:rPr>
          <w:rFonts w:ascii="黑体" w:hAnsi="黑体" w:eastAsia="黑体" w:cs="黑体"/>
          <w:color w:val="auto"/>
          <w:sz w:val="28"/>
          <w:szCs w:val="28"/>
          <w:highlight w:val="none"/>
        </w:rPr>
        <w:t>2.1</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招标文件的组成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本招标文件包括：</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（1）招标公告（或投标邀请书）；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（2）投标人须知；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（3）评标办法；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（4）合同条款及格式；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（5）工程量清单；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（6）图纸；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（7）技术标准和要求；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（8）投标文件格式；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（9）投标人须知前附表规定的其他材料。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根据本章第 </w:t>
      </w:r>
      <w:r>
        <w:rPr>
          <w:rFonts w:hint="eastAsia"/>
          <w:color w:val="auto"/>
          <w:highlight w:val="none"/>
          <w:lang w:val="en-US" w:eastAsia="zh-CN"/>
        </w:rPr>
        <w:t>2.1</w:t>
      </w:r>
      <w:r>
        <w:rPr>
          <w:color w:val="auto"/>
          <w:highlight w:val="none"/>
        </w:rPr>
        <w:t xml:space="preserve"> 款、第 2.2 款和第 2.3 款对招标文件所作的澄清、修改，构成招标文件的组成部分。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70" w:name="_bookmark41"/>
      <w:bookmarkEnd w:id="70"/>
      <w:bookmarkStart w:id="71" w:name="2.2 招标文件的澄清"/>
      <w:bookmarkEnd w:id="71"/>
      <w:r>
        <w:rPr>
          <w:rFonts w:ascii="黑体" w:hAnsi="黑体" w:eastAsia="黑体" w:cs="黑体"/>
          <w:color w:val="auto"/>
          <w:sz w:val="28"/>
          <w:szCs w:val="28"/>
          <w:highlight w:val="none"/>
        </w:rPr>
        <w:t>2.2</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招标文件的澄清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bookmarkStart w:id="72" w:name="2.2.2 招标文件的澄清将在投标截止时间15 日前在投标人须知前附表规定的网站"/>
      <w:bookmarkEnd w:id="72"/>
      <w:bookmarkStart w:id="73" w:name="_bookmark42"/>
      <w:bookmarkEnd w:id="73"/>
      <w:r>
        <w:rPr>
          <w:color w:val="auto"/>
          <w:highlight w:val="none"/>
        </w:rPr>
        <w:t xml:space="preserve">2.2.2 </w:t>
      </w:r>
      <w:r>
        <w:rPr>
          <w:rFonts w:hint="eastAsia"/>
          <w:color w:val="auto"/>
          <w:highlight w:val="none"/>
          <w:lang w:val="en-US" w:eastAsia="zh-CN"/>
        </w:rPr>
        <w:t xml:space="preserve"> </w:t>
      </w:r>
      <w:r>
        <w:rPr>
          <w:color w:val="auto"/>
          <w:highlight w:val="none"/>
        </w:rPr>
        <w:t>招标文件的澄清将在投标截止时间 15 日前在投标人须知前附表规定的网站上发布，但不指明澄清问题的来源，投标人自行下载，招标人不另行通知。该澄清作为招标文件的组成部分。澄清发出的时间距投标人须知前附表规定的投标截止时间不足15日的，并且澄清内容影响投标文件编制的，相应延长投标截止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eastAsia="zh-CN"/>
        </w:rPr>
      </w:pPr>
      <w:bookmarkStart w:id="74" w:name="2.2.3 投标人须留意投标人须知前附表第2.2.2 款所列网站发布的澄清通知，"/>
      <w:bookmarkEnd w:id="74"/>
      <w:r>
        <w:rPr>
          <w:color w:val="auto"/>
          <w:highlight w:val="none"/>
        </w:rPr>
        <w:t>2.2.3 投标人须留意</w:t>
      </w:r>
      <w:r>
        <w:rPr>
          <w:rFonts w:hint="eastAsia"/>
          <w:color w:val="auto"/>
          <w:highlight w:val="none"/>
          <w:lang w:val="en-US" w:eastAsia="zh-CN"/>
        </w:rPr>
        <w:t>云南省公共资源交易信息网</w:t>
      </w:r>
      <w:r>
        <w:rPr>
          <w:color w:val="auto"/>
          <w:highlight w:val="none"/>
        </w:rPr>
        <w:t>网站发布的澄清通知，在浏览澄清通知后，投标人自行下载该澄清通知，不需要确认。投标人未留意该澄清通知而造成的后果由投标人自行承担</w:t>
      </w:r>
      <w:r>
        <w:rPr>
          <w:rFonts w:hint="eastAsia"/>
          <w:color w:val="auto"/>
          <w:highlight w:val="none"/>
          <w:lang w:eastAsia="zh-CN"/>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default"/>
          <w:color w:val="auto"/>
          <w:highlight w:val="none"/>
          <w:lang w:val="en-US" w:eastAsia="zh-CN"/>
        </w:rPr>
      </w:pPr>
      <w:r>
        <w:rPr>
          <w:rFonts w:hint="eastAsia"/>
          <w:color w:val="auto"/>
          <w:highlight w:val="none"/>
          <w:lang w:val="en-US" w:eastAsia="zh-CN"/>
        </w:rPr>
        <w:t>2.2.4</w:t>
      </w:r>
      <w:r>
        <w:rPr>
          <w:rFonts w:hint="eastAsia" w:ascii="宋体" w:hAnsi="宋体"/>
          <w:color w:val="auto"/>
          <w:kern w:val="0"/>
          <w:highlight w:val="none"/>
        </w:rPr>
        <w:t>投标截止时间：见投标人须知前附表。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36"/>
          <w:szCs w:val="36"/>
          <w:highlight w:val="none"/>
        </w:rPr>
      </w:pPr>
      <w:bookmarkStart w:id="75" w:name="2.3 招标文件的修改"/>
      <w:bookmarkEnd w:id="75"/>
      <w:r>
        <w:rPr>
          <w:rFonts w:ascii="黑体" w:hAnsi="黑体" w:eastAsia="黑体" w:cs="黑体"/>
          <w:color w:val="auto"/>
          <w:sz w:val="28"/>
          <w:szCs w:val="28"/>
          <w:highlight w:val="none"/>
        </w:rPr>
        <w:t>2.3</w:t>
      </w:r>
      <w:r>
        <w:rPr>
          <w:rFonts w:ascii="黑体" w:hAnsi="黑体" w:eastAsia="黑体" w:cs="黑体"/>
          <w:color w:val="auto"/>
          <w:spacing w:val="-3"/>
          <w:sz w:val="28"/>
          <w:szCs w:val="28"/>
          <w:highlight w:val="none"/>
        </w:rPr>
        <w:t xml:space="preserve"> </w:t>
      </w:r>
      <w:r>
        <w:rPr>
          <w:rFonts w:ascii="黑体" w:hAnsi="黑体" w:eastAsia="黑体" w:cs="黑体"/>
          <w:color w:val="auto"/>
          <w:sz w:val="28"/>
          <w:szCs w:val="28"/>
          <w:highlight w:val="none"/>
        </w:rPr>
        <w:t>招标文件的修改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bookmarkStart w:id="76" w:name="2.3.1招标人以投标人须知前附表规定的形式修改招标文件，投标人须知前附表规定的"/>
      <w:bookmarkEnd w:id="76"/>
      <w:bookmarkStart w:id="77" w:name="_bookmark43"/>
      <w:bookmarkEnd w:id="77"/>
      <w:r>
        <w:rPr>
          <w:color w:val="auto"/>
          <w:highlight w:val="none"/>
        </w:rPr>
        <w:t>2.3.1 招标人以投标人须知前附表规定的形式修改招标文件，投标人须知前附表规定的网站上发布，该修改作为招标文件的组成部分。修改招标文件的时间距本章第</w:t>
      </w:r>
      <w:r>
        <w:rPr>
          <w:rFonts w:hint="eastAsia"/>
          <w:color w:val="auto"/>
          <w:highlight w:val="none"/>
          <w:lang w:val="en-US" w:eastAsia="zh-CN"/>
        </w:rPr>
        <w:t>2.3</w:t>
      </w:r>
      <w:r>
        <w:rPr>
          <w:color w:val="auto"/>
          <w:highlight w:val="none"/>
        </w:rPr>
        <w:t xml:space="preserve"> 项规定的投标截止时间不足15日的，并且修改内容可能影响投标文件编制的，将相应延长投标截止时间。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eastAsia="zh-CN"/>
        </w:rPr>
      </w:pPr>
      <w:bookmarkStart w:id="78" w:name="2.3.2 投标人须留意投标人须知前附表第2.3.1 款所列网站发布的修改通知，"/>
      <w:bookmarkEnd w:id="78"/>
      <w:r>
        <w:rPr>
          <w:color w:val="auto"/>
          <w:highlight w:val="none"/>
        </w:rPr>
        <w:t xml:space="preserve">2.3.2 </w:t>
      </w:r>
      <w:r>
        <w:rPr>
          <w:rFonts w:hint="eastAsia"/>
          <w:color w:val="auto"/>
          <w:highlight w:val="none"/>
          <w:lang w:val="en-US" w:eastAsia="zh-CN"/>
        </w:rPr>
        <w:t xml:space="preserve"> </w:t>
      </w:r>
      <w:r>
        <w:rPr>
          <w:color w:val="auto"/>
          <w:highlight w:val="none"/>
        </w:rPr>
        <w:t>投标人须留意</w:t>
      </w:r>
      <w:r>
        <w:rPr>
          <w:rFonts w:hint="eastAsia"/>
          <w:color w:val="auto"/>
          <w:highlight w:val="none"/>
          <w:lang w:val="en-US" w:eastAsia="zh-CN"/>
        </w:rPr>
        <w:t>云南省公共资源交易信息网</w:t>
      </w:r>
      <w:r>
        <w:rPr>
          <w:color w:val="auto"/>
          <w:highlight w:val="none"/>
        </w:rPr>
        <w:t>网站发布的修改通知，在浏览修改通知后，投标人自行下载该修改通知，不需要确认。投标人未留意该修改通知而造成的后果由投标人自行承担</w:t>
      </w:r>
      <w:r>
        <w:rPr>
          <w:rFonts w:hint="eastAsia"/>
          <w:color w:val="auto"/>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79" w:name="3. 投标文件"/>
      <w:bookmarkEnd w:id="79"/>
      <w:bookmarkStart w:id="80" w:name="_Toc23436"/>
      <w:r>
        <w:rPr>
          <w:rFonts w:ascii="黑体" w:hAnsi="黑体" w:eastAsia="黑体" w:cs="黑体"/>
          <w:b/>
          <w:bCs/>
          <w:color w:val="auto"/>
          <w:sz w:val="28"/>
          <w:szCs w:val="28"/>
          <w:highlight w:val="none"/>
        </w:rPr>
        <w:t>3.</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投标文件</w:t>
      </w:r>
      <w:bookmarkEnd w:id="80"/>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81" w:name="_bookmark44"/>
      <w:bookmarkEnd w:id="81"/>
      <w:bookmarkStart w:id="82" w:name="3.1 投标文件的组成"/>
      <w:bookmarkEnd w:id="82"/>
      <w:r>
        <w:rPr>
          <w:rFonts w:ascii="黑体" w:hAnsi="黑体" w:eastAsia="黑体" w:cs="黑体"/>
          <w:color w:val="auto"/>
          <w:sz w:val="28"/>
          <w:szCs w:val="28"/>
          <w:highlight w:val="none"/>
        </w:rPr>
        <w:t>3.1</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投标文件的组成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3.1.1</w:t>
      </w:r>
      <w:r>
        <w:rPr>
          <w:rFonts w:hint="eastAsia"/>
          <w:color w:val="auto"/>
          <w:highlight w:val="none"/>
          <w:lang w:val="en-US" w:eastAsia="zh-CN"/>
        </w:rPr>
        <w:t xml:space="preserve"> </w:t>
      </w:r>
      <w:r>
        <w:rPr>
          <w:color w:val="auto"/>
          <w:highlight w:val="none"/>
        </w:rPr>
        <w:t xml:space="preserve"> 投标文件由商务投标文件和技术投标文件组成，应包括下列内容：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（一）商务投标文件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具体内容详见招标文件第八章投标文件的格式。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（二）技术投标文件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具体内容详见招标文件第八章投标文件的格式。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3.1.2</w:t>
      </w:r>
      <w:r>
        <w:rPr>
          <w:rFonts w:hint="eastAsia"/>
          <w:color w:val="auto"/>
          <w:highlight w:val="none"/>
          <w:lang w:val="en-US" w:eastAsia="zh-CN"/>
        </w:rPr>
        <w:t xml:space="preserve"> </w:t>
      </w:r>
      <w:r>
        <w:rPr>
          <w:color w:val="auto"/>
          <w:highlight w:val="none"/>
        </w:rPr>
        <w:t xml:space="preserve"> 投标人须知前附表规定不接受联合体投标的，或投标人没有组成联合体的，投标文件不包括本章第（一）3.1.1（3）目所指的联合体协议书。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 xml:space="preserve">3.1.3 </w:t>
      </w:r>
      <w:r>
        <w:rPr>
          <w:rFonts w:hint="eastAsia"/>
          <w:color w:val="auto"/>
          <w:highlight w:val="none"/>
          <w:lang w:val="en-US" w:eastAsia="zh-CN"/>
        </w:rPr>
        <w:t xml:space="preserve"> </w:t>
      </w:r>
      <w:r>
        <w:rPr>
          <w:color w:val="auto"/>
          <w:highlight w:val="none"/>
        </w:rPr>
        <w:t>投标人须知前附表未要求提交投标保证金的，投标文件不包括本章第（一）</w:t>
      </w:r>
      <w:r>
        <w:rPr>
          <w:rFonts w:hint="eastAsia"/>
          <w:color w:val="auto"/>
          <w:highlight w:val="none"/>
          <w:lang w:val="en-US" w:eastAsia="zh-CN"/>
        </w:rPr>
        <w:t>3.4</w:t>
      </w:r>
      <w:r>
        <w:rPr>
          <w:color w:val="auto"/>
          <w:highlight w:val="none"/>
        </w:rPr>
        <w:t>目所指的投标保证金。</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83" w:name="3.2 投标报价"/>
      <w:bookmarkEnd w:id="83"/>
      <w:bookmarkStart w:id="84" w:name="_bookmark45"/>
      <w:bookmarkEnd w:id="84"/>
      <w:r>
        <w:rPr>
          <w:rFonts w:ascii="黑体" w:hAnsi="黑体" w:eastAsia="黑体" w:cs="黑体"/>
          <w:color w:val="auto"/>
          <w:sz w:val="28"/>
          <w:szCs w:val="28"/>
          <w:highlight w:val="none"/>
        </w:rPr>
        <w:t>3.2</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投标报价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3.2.1 投标人应按第五章“工程量清单”的要求填写相应表格。</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3.2.2 投标报价为各分项报价金额之和，投标报价与分项报价的合价不一致的，应以各分项 合价累计数为准，修正投标报价；如分项报价中存在缺漏项，则视为缺漏项价格已包含在其他分 项报价之中。投标人在投标截止时间前修改投标函中的投标总报价，应同时修改第五章“工程量 清单”中的相应报价。此修改须符合本章第4.3 款的有关要求。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3.2.3 招标人设有最高投标限价的，投标人的投标报价不得超过最高投标限价，最高投标限价在投标人须知前附表中载明。</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85" w:name="3.3 投标有效期"/>
      <w:bookmarkEnd w:id="85"/>
      <w:bookmarkStart w:id="86" w:name="_bookmark46"/>
      <w:bookmarkEnd w:id="86"/>
      <w:r>
        <w:rPr>
          <w:rFonts w:ascii="黑体" w:hAnsi="黑体" w:eastAsia="黑体" w:cs="黑体"/>
          <w:color w:val="auto"/>
          <w:sz w:val="28"/>
          <w:szCs w:val="28"/>
          <w:highlight w:val="none"/>
        </w:rPr>
        <w:t>3.3</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投标有效期</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3.3.1 在投标人须知前附表规定的投标有效期内，投标人不得要求撤销或修改其投标文件。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87" w:name="_bookmark47"/>
      <w:bookmarkEnd w:id="87"/>
      <w:bookmarkStart w:id="88" w:name="3.4 投标保证金"/>
      <w:bookmarkEnd w:id="88"/>
      <w:r>
        <w:rPr>
          <w:rFonts w:ascii="黑体" w:hAnsi="黑体" w:eastAsia="黑体" w:cs="黑体"/>
          <w:color w:val="auto"/>
          <w:sz w:val="28"/>
          <w:szCs w:val="28"/>
          <w:highlight w:val="none"/>
        </w:rPr>
        <w:t>3.4</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投标保证金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3.4.2 投标人不按本章第 3.4.1 项要求提交投标保证金的，评标委员会将否决其投标。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3.4.3 招标人最迟将在与中标人签订合同后 5 个工作日内，向未中标的投标人和中标人退还投标保证金。投标保证金以现金或者支票形式递交的，还应退还银行同期存款利息。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3.4.4 有下列情形之一的，投标保证金将不予退还：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（1）投标人在规定的投标有效期内撤销或修改其投标文件；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（2）中标人在收到中标通知书后，无正当理由拒签合同协议书或未按招标文件规定提交履 约担保。</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89" w:name="3.5 资格审查资料（适用于已进行资格预审的）"/>
      <w:bookmarkEnd w:id="89"/>
      <w:bookmarkStart w:id="90" w:name="_bookmark49"/>
      <w:bookmarkEnd w:id="90"/>
      <w:bookmarkStart w:id="91" w:name="_bookmark48"/>
      <w:bookmarkEnd w:id="91"/>
      <w:bookmarkStart w:id="92" w:name="3.5 资格审查资料（适用于未进行资格预审的）"/>
      <w:bookmarkEnd w:id="92"/>
      <w:r>
        <w:rPr>
          <w:rFonts w:ascii="黑体" w:hAnsi="黑体" w:eastAsia="黑体" w:cs="黑体"/>
          <w:color w:val="auto"/>
          <w:sz w:val="28"/>
          <w:szCs w:val="28"/>
          <w:highlight w:val="none"/>
        </w:rPr>
        <w:t>3.5</w:t>
      </w:r>
      <w:r>
        <w:rPr>
          <w:rFonts w:ascii="黑体" w:hAnsi="黑体" w:eastAsia="黑体" w:cs="黑体"/>
          <w:color w:val="auto"/>
          <w:spacing w:val="-14"/>
          <w:sz w:val="28"/>
          <w:szCs w:val="28"/>
          <w:highlight w:val="none"/>
        </w:rPr>
        <w:t xml:space="preserve"> </w:t>
      </w:r>
      <w:r>
        <w:rPr>
          <w:rFonts w:ascii="黑体" w:hAnsi="黑体" w:eastAsia="黑体" w:cs="黑体"/>
          <w:color w:val="auto"/>
          <w:sz w:val="28"/>
          <w:szCs w:val="28"/>
          <w:highlight w:val="none"/>
        </w:rPr>
        <w:t>资格审查资料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除投标人须知前附表另有规定外，投标人应按下列规定提供资格审查资料，以证明其满足本章第 1.4 款规定的资质、财务、业绩、信誉等要求。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3.5.1 “投标人基本情况表”应附投标人营业执照副本、资质证书副本和安全生产许可证等材料的复印件。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3.5.3 “近年完成的类似项目情况表”应附中标通知书和（或）合同协议书、工程接收证书（工程竣工验收证书）的复印件，具体年份要求见投标人须知前附表。每张表格只填写一个项目， 并标明序号。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rPr>
      </w:pPr>
      <w:r>
        <w:rPr>
          <w:rFonts w:hint="eastAsia"/>
          <w:color w:val="auto"/>
          <w:highlight w:val="none"/>
        </w:rPr>
        <w:t>3.5.4 投标人须知前附表规定接受联合体投标的，本章第 3.5.1 项至第 3.5.3 项规定的表格和资料应包括联合体各方相关情况。</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93" w:name="_bookmark50"/>
      <w:bookmarkEnd w:id="93"/>
      <w:bookmarkStart w:id="94" w:name="3.6 备选投标方案"/>
      <w:bookmarkEnd w:id="94"/>
      <w:r>
        <w:rPr>
          <w:rFonts w:ascii="黑体" w:hAnsi="黑体" w:eastAsia="黑体" w:cs="黑体"/>
          <w:color w:val="auto"/>
          <w:sz w:val="28"/>
          <w:szCs w:val="28"/>
          <w:highlight w:val="none"/>
        </w:rPr>
        <w:t>3.6</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备选投标方案</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除投标人须知前附表另有规定外，投标人不得递交备选投标方案。允许投标人递交备选投标方案的，只有中标人所递交的备选投标方案方可予以考虑。评标委员会认为中标人的备选投标方 案优于其按照招标文件要求编制的投标方案的，招标人可以接受该备选投标方案。</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0"/>
          <w:szCs w:val="20"/>
          <w:highlight w:val="none"/>
        </w:rPr>
      </w:pPr>
      <w:bookmarkStart w:id="95" w:name="_bookmark51"/>
      <w:bookmarkEnd w:id="95"/>
      <w:bookmarkStart w:id="96" w:name="3.7 投标文件的编制"/>
      <w:bookmarkEnd w:id="96"/>
      <w:r>
        <w:rPr>
          <w:rFonts w:ascii="黑体" w:hAnsi="黑体" w:eastAsia="黑体" w:cs="黑体"/>
          <w:color w:val="auto"/>
          <w:sz w:val="28"/>
          <w:szCs w:val="28"/>
          <w:highlight w:val="none"/>
        </w:rPr>
        <w:t>3.7</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投标文件的编制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3.7.1 投标文件应按第八章“投标文件格式”进行编写，如有必要，可以增加附页，作为投 标文件的组成部分。其中，投标函附录在满足招标文件实质性要求的基础上，可以提出比招标文件要求更有利于招标人的承诺。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3.7.2 投标文件应当对招标文件有关工期、投标有效期、质量要求、技术标准和要求、招标范围等实质性内容作出响应。</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3.7.3 投标文件的制作应满足以下规定：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（1）投标文件由投标人登录“</w:t>
      </w:r>
      <w:r>
        <w:rPr>
          <w:rFonts w:hint="eastAsia"/>
          <w:color w:val="auto"/>
          <w:highlight w:val="none"/>
          <w:lang w:val="en-US" w:eastAsia="zh-CN"/>
        </w:rPr>
        <w:t>云南</w:t>
      </w:r>
      <w:r>
        <w:rPr>
          <w:rFonts w:hint="eastAsia"/>
          <w:color w:val="auto"/>
          <w:highlight w:val="none"/>
          <w:lang w:val="en-US" w:eastAsia="en-US"/>
        </w:rPr>
        <w:t>省公共资源交易中心门户网站-下载中心”下载“投标文件制作工具”制作生成。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（2）第六章“投标文件格式”中要求盖单位章和（或）签字的地方，投标人均应使用 CA 数 字证书加盖投标人的单位电子印章和（或）法定代表人的个人电子印章或电子签名章。联合体投 标的，投标文件由联合体牵头人按上述规定加盖联合体牵头人单位电子印章和（或）法定代表人 的个人电子印章或电子签名章。</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zh-CN"/>
        </w:rPr>
      </w:pPr>
      <w:r>
        <w:rPr>
          <w:rFonts w:hint="eastAsia"/>
          <w:color w:val="auto"/>
          <w:highlight w:val="none"/>
          <w:lang w:val="en-US" w:eastAsia="en-US"/>
        </w:rPr>
        <w:t>（3）投标文件制作完成后，投标人应使用 CA 数字证书对投标文件进行文件加密，形成加密 的投标文件</w:t>
      </w:r>
      <w:r>
        <w:rPr>
          <w:rFonts w:hint="eastAsia"/>
          <w:color w:val="auto"/>
          <w:highlight w:val="none"/>
          <w:lang w:val="en-US" w:eastAsia="zh-CN"/>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sz w:val="21"/>
          <w:szCs w:val="21"/>
          <w:highlight w:val="none"/>
          <w:lang w:val="en-US" w:eastAsia="en-US" w:bidi="ar-SA"/>
        </w:rPr>
      </w:pPr>
      <w:r>
        <w:rPr>
          <w:rFonts w:hint="eastAsia"/>
          <w:color w:val="auto"/>
          <w:highlight w:val="none"/>
          <w:lang w:val="en-US" w:eastAsia="en-US"/>
        </w:rPr>
        <w:t>3.7.4 因投标人自身原因而导致投标文件无法导入“电子交易平台”电子开标、评标系统，该投标视为无效投标，投标人自行承担由此导致的全部责任。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97" w:name="_bookmark52"/>
      <w:bookmarkEnd w:id="97"/>
      <w:bookmarkStart w:id="98" w:name="4. 投标"/>
      <w:bookmarkEnd w:id="98"/>
      <w:bookmarkStart w:id="99" w:name="_Toc24726"/>
      <w:r>
        <w:rPr>
          <w:rFonts w:ascii="黑体" w:hAnsi="黑体" w:eastAsia="黑体" w:cs="黑体"/>
          <w:b/>
          <w:bCs/>
          <w:color w:val="auto"/>
          <w:sz w:val="28"/>
          <w:szCs w:val="28"/>
          <w:highlight w:val="none"/>
        </w:rPr>
        <w:t>4.</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投标</w:t>
      </w:r>
      <w:bookmarkEnd w:id="99"/>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z w:val="20"/>
          <w:szCs w:val="20"/>
          <w:highlight w:val="none"/>
          <w:lang w:eastAsia="zh-CN"/>
        </w:rPr>
      </w:pPr>
      <w:bookmarkStart w:id="100" w:name="_bookmark53"/>
      <w:bookmarkEnd w:id="100"/>
      <w:bookmarkStart w:id="101" w:name="4.1 投标文件的密封和标记"/>
      <w:bookmarkEnd w:id="101"/>
      <w:r>
        <w:rPr>
          <w:rFonts w:ascii="黑体" w:hAnsi="黑体" w:eastAsia="黑体" w:cs="黑体"/>
          <w:color w:val="auto"/>
          <w:sz w:val="28"/>
          <w:szCs w:val="28"/>
          <w:highlight w:val="none"/>
        </w:rPr>
        <w:t>4.1</w:t>
      </w:r>
      <w:r>
        <w:rPr>
          <w:rFonts w:ascii="黑体" w:hAnsi="黑体" w:eastAsia="黑体" w:cs="黑体"/>
          <w:color w:val="auto"/>
          <w:spacing w:val="-8"/>
          <w:sz w:val="28"/>
          <w:szCs w:val="28"/>
          <w:highlight w:val="none"/>
        </w:rPr>
        <w:t xml:space="preserve"> </w:t>
      </w:r>
      <w:r>
        <w:rPr>
          <w:rFonts w:ascii="黑体" w:hAnsi="黑体" w:eastAsia="黑体" w:cs="黑体"/>
          <w:color w:val="auto"/>
          <w:sz w:val="28"/>
          <w:szCs w:val="28"/>
          <w:highlight w:val="none"/>
        </w:rPr>
        <w:t>投标文件的</w:t>
      </w:r>
      <w:r>
        <w:rPr>
          <w:rFonts w:hint="eastAsia" w:ascii="黑体" w:hAnsi="黑体" w:eastAsia="黑体" w:cs="黑体"/>
          <w:color w:val="auto"/>
          <w:sz w:val="28"/>
          <w:szCs w:val="28"/>
          <w:highlight w:val="none"/>
          <w:lang w:eastAsia="zh-CN"/>
        </w:rPr>
        <w:t>上传</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4.1.1投标人应在本章第2.2.2项规定的投标截止时间前将电子投标文件上传到</w:t>
      </w:r>
      <w:r>
        <w:rPr>
          <w:rFonts w:hint="eastAsia"/>
          <w:color w:val="auto"/>
          <w:highlight w:val="none"/>
          <w:lang w:val="en-US" w:eastAsia="zh-CN"/>
        </w:rPr>
        <w:t>云南省公共资源交易信息网</w:t>
      </w:r>
      <w:r>
        <w:rPr>
          <w:rFonts w:hint="eastAsia"/>
          <w:color w:val="auto"/>
          <w:highlight w:val="none"/>
          <w:lang w:val="en-US" w:eastAsia="en-US"/>
        </w:rPr>
        <w:t>，未按规定在投标截止时间前上传投标文件的，视为撤回其投标文件。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4.1.2除投标人须知前附表另有规定外，投标人所递交的投标文件不予退还。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Theme="minorEastAsia" w:hAnsiTheme="minorEastAsia" w:eastAsiaTheme="minorEastAsia" w:cstheme="minorEastAsia"/>
          <w:color w:val="auto"/>
          <w:kern w:val="0"/>
          <w:sz w:val="21"/>
          <w:szCs w:val="21"/>
          <w:highlight w:val="none"/>
        </w:rPr>
      </w:pPr>
      <w:r>
        <w:rPr>
          <w:rFonts w:hint="eastAsia"/>
          <w:color w:val="auto"/>
          <w:highlight w:val="none"/>
          <w:lang w:val="en-US" w:eastAsia="en-US"/>
        </w:rPr>
        <w:t>4.1.3网上上传投标文件：投标人登录“</w:t>
      </w:r>
      <w:r>
        <w:rPr>
          <w:rFonts w:hint="eastAsia"/>
          <w:color w:val="auto"/>
          <w:highlight w:val="none"/>
          <w:lang w:val="en-US" w:eastAsia="zh-CN"/>
        </w:rPr>
        <w:fldChar w:fldCharType="begin"/>
      </w:r>
      <w:r>
        <w:rPr>
          <w:rFonts w:hint="eastAsia"/>
          <w:color w:val="auto"/>
          <w:highlight w:val="none"/>
          <w:lang w:val="en-US" w:eastAsia="zh-CN"/>
        </w:rPr>
        <w:instrText xml:space="preserve"> AUTOTEXT  input456 \* MERGEFORMAT </w:instrText>
      </w:r>
      <w:r>
        <w:rPr>
          <w:rFonts w:hint="eastAsia"/>
          <w:color w:val="auto"/>
          <w:highlight w:val="none"/>
          <w:lang w:val="en-US" w:eastAsia="zh-CN"/>
        </w:rPr>
        <w:fldChar w:fldCharType="separate"/>
      </w:r>
      <w:r>
        <w:rPr>
          <w:rFonts w:hint="eastAsia"/>
          <w:color w:val="auto"/>
          <w:highlight w:val="none"/>
          <w:lang w:val="en-US" w:eastAsia="zh-CN"/>
        </w:rPr>
        <w:t>云南省公共资源交易信息网</w:t>
      </w:r>
      <w:r>
        <w:rPr>
          <w:rFonts w:hint="eastAsia"/>
          <w:color w:val="auto"/>
          <w:highlight w:val="none"/>
          <w:lang w:val="en-US" w:eastAsia="zh-CN"/>
        </w:rPr>
        <w:fldChar w:fldCharType="end"/>
      </w:r>
      <w:r>
        <w:rPr>
          <w:rFonts w:hint="eastAsia"/>
          <w:color w:val="auto"/>
          <w:highlight w:val="none"/>
          <w:lang w:val="en-US" w:eastAsia="en-US"/>
        </w:rPr>
        <w:t>”，投标人根据拟要投标的项目，按照招标文件要求上传全部投标文件，投标文件上传后须自行检查投标文件的完整性并进行确认签名后，方完成全部投标文件网上上传操作。投标人可自行打印“上传投标文件回执”。投标截止时间前未完成投标文件传输的，视为撤回投标文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z w:val="28"/>
          <w:szCs w:val="28"/>
          <w:highlight w:val="none"/>
        </w:rPr>
      </w:pPr>
      <w:bookmarkStart w:id="102" w:name="_bookmark56"/>
      <w:bookmarkEnd w:id="102"/>
      <w:bookmarkStart w:id="103" w:name="5. 开标"/>
      <w:bookmarkEnd w:id="103"/>
      <w:r>
        <w:rPr>
          <w:rFonts w:hint="eastAsia" w:ascii="黑体" w:hAnsi="黑体" w:eastAsia="黑体" w:cs="黑体"/>
          <w:color w:val="auto"/>
          <w:sz w:val="28"/>
          <w:szCs w:val="28"/>
          <w:highlight w:val="none"/>
        </w:rPr>
        <w:t>4.2投标文件的修改与撤回</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4.2.1在本章第2.</w:t>
      </w:r>
      <w:r>
        <w:rPr>
          <w:rFonts w:hint="eastAsia"/>
          <w:color w:val="auto"/>
          <w:highlight w:val="none"/>
          <w:lang w:val="en-US" w:eastAsia="zh-CN"/>
        </w:rPr>
        <w:t>3</w:t>
      </w:r>
      <w:r>
        <w:rPr>
          <w:rFonts w:hint="eastAsia"/>
          <w:color w:val="auto"/>
          <w:highlight w:val="none"/>
          <w:lang w:val="en-US" w:eastAsia="en-US"/>
        </w:rPr>
        <w:t>项规定的投标截止时间前，投标人可以修改或撤回已在网上上传的投标文件，无须书面形式通知招标人。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4.2.2投标人撤回投标文件的，可在规定时间内申请退还已缴纳的投标保证金。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4.2.3修改的内容为投标文件的组成部分。修改的投标文件应按照本章第3条、第4条规定进行编制和上传。</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04" w:name="_Toc211"/>
      <w:r>
        <w:rPr>
          <w:rFonts w:ascii="黑体" w:hAnsi="黑体" w:eastAsia="黑体" w:cs="黑体"/>
          <w:b/>
          <w:bCs/>
          <w:color w:val="auto"/>
          <w:sz w:val="28"/>
          <w:szCs w:val="28"/>
          <w:highlight w:val="none"/>
        </w:rPr>
        <w:t>5.</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开标</w:t>
      </w:r>
      <w:bookmarkEnd w:id="104"/>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37"/>
          <w:szCs w:val="37"/>
          <w:highlight w:val="none"/>
        </w:rPr>
      </w:pPr>
      <w:bookmarkStart w:id="105" w:name="5.1 开标时间和地点"/>
      <w:bookmarkEnd w:id="105"/>
      <w:bookmarkStart w:id="106" w:name="_bookmark57"/>
      <w:bookmarkEnd w:id="106"/>
      <w:r>
        <w:rPr>
          <w:rFonts w:ascii="黑体" w:hAnsi="黑体" w:eastAsia="黑体" w:cs="黑体"/>
          <w:color w:val="auto"/>
          <w:sz w:val="28"/>
          <w:szCs w:val="28"/>
          <w:highlight w:val="none"/>
        </w:rPr>
        <w:t>5.1</w:t>
      </w:r>
      <w:r>
        <w:rPr>
          <w:rFonts w:ascii="黑体" w:hAnsi="黑体" w:eastAsia="黑体" w:cs="黑体"/>
          <w:color w:val="auto"/>
          <w:spacing w:val="-6"/>
          <w:sz w:val="28"/>
          <w:szCs w:val="28"/>
          <w:highlight w:val="none"/>
        </w:rPr>
        <w:t xml:space="preserve"> </w:t>
      </w:r>
      <w:r>
        <w:rPr>
          <w:rFonts w:ascii="黑体" w:hAnsi="黑体" w:eastAsia="黑体" w:cs="黑体"/>
          <w:color w:val="auto"/>
          <w:sz w:val="28"/>
          <w:szCs w:val="28"/>
          <w:highlight w:val="none"/>
        </w:rPr>
        <w:t>开标时间和地点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招标人在投标人须知前附表第 5.1 项规定的投标截止时间（开标时间）进行开标。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07" w:name="5.2 （A）开标程序"/>
      <w:bookmarkEnd w:id="107"/>
      <w:r>
        <w:rPr>
          <w:rFonts w:ascii="黑体" w:hAnsi="黑体" w:eastAsia="黑体" w:cs="黑体"/>
          <w:color w:val="auto"/>
          <w:sz w:val="28"/>
          <w:szCs w:val="28"/>
          <w:highlight w:val="none"/>
        </w:rPr>
        <w:t>5.2 开标程序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采用电子招标方式的，开标程序按交易平台的规定要求执行。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（1）公布在投标截止时间前递交投标文件的投标人名称；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（2）宣布开标人、唱标人、记录人、行政监督等有关人员姓名；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zh-CN"/>
        </w:rPr>
      </w:pPr>
      <w:r>
        <w:rPr>
          <w:rFonts w:hint="eastAsia"/>
          <w:color w:val="auto"/>
          <w:highlight w:val="none"/>
          <w:lang w:val="en-US" w:eastAsia="en-US"/>
        </w:rPr>
        <w:t>（3）公共资源交易平台提取所有已成功上传的投标文件，由投标人对网上上传已加密的投标文件进行网上解密或现场解密，解密完成后导入有效投标人的电子投标文件</w:t>
      </w:r>
      <w:r>
        <w:rPr>
          <w:rFonts w:hint="eastAsia"/>
          <w:color w:val="auto"/>
          <w:highlight w:val="none"/>
          <w:lang w:val="en-US" w:eastAsia="zh-CN"/>
        </w:rPr>
        <w:t>。所有有效投标文件导入完成后进行唱标公布</w:t>
      </w:r>
      <w:r>
        <w:rPr>
          <w:rFonts w:hint="eastAsia"/>
          <w:color w:val="auto"/>
          <w:highlight w:val="none"/>
          <w:lang w:val="en-US" w:eastAsia="en-US"/>
        </w:rPr>
        <w:t>有投标人名称、投标价格和招标文件规定的其他内容；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（4）</w:t>
      </w:r>
      <w:bookmarkStart w:id="108" w:name="5.3 开标异议"/>
      <w:bookmarkEnd w:id="108"/>
      <w:r>
        <w:rPr>
          <w:rFonts w:hint="eastAsia"/>
          <w:color w:val="auto"/>
          <w:highlight w:val="none"/>
          <w:lang w:val="en-US" w:eastAsia="en-US"/>
        </w:rPr>
        <w:t>本项目采用网上智能开标远程解密。投标人登录云南省公共资源交易平台，按照《网上智能开标远程解密操作指南（投标人）》完成远程解密、查看开标一览表等相关操作。本项目解密时间为</w:t>
      </w:r>
      <w:r>
        <w:rPr>
          <w:rFonts w:hint="eastAsia"/>
          <w:color w:val="auto"/>
          <w:highlight w:val="none"/>
          <w:u w:val="single"/>
          <w:lang w:val="en-US" w:eastAsia="en-US"/>
        </w:rPr>
        <w:t xml:space="preserve">      </w:t>
      </w:r>
      <w:r>
        <w:rPr>
          <w:rFonts w:hint="eastAsia"/>
          <w:color w:val="auto"/>
          <w:highlight w:val="none"/>
          <w:lang w:val="en-US" w:eastAsia="en-US"/>
        </w:rPr>
        <w:t>，若投标人未在规定时间完成以上解密，则视为撤销其投标文件，不再进入评标阶段。(不得设置不合理的解密时间)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因开标系统、开标现场网络、设备及其他特殊原因，导致不能正常解密投标文件的，经核实和上报相关部门同意后，可再次下达网上解密指令来延长解密时间。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w:t>
      </w:r>
      <w:r>
        <w:rPr>
          <w:rFonts w:hint="eastAsia"/>
          <w:color w:val="auto"/>
          <w:highlight w:val="none"/>
          <w:lang w:val="en-US" w:eastAsia="zh-CN"/>
        </w:rPr>
        <w:t>5</w:t>
      </w:r>
      <w:r>
        <w:rPr>
          <w:rFonts w:hint="eastAsia"/>
          <w:color w:val="auto"/>
          <w:highlight w:val="none"/>
          <w:lang w:val="en-US" w:eastAsia="en-US"/>
        </w:rPr>
        <w:t>）招标人、纪律监察、行政监管人员、招标代理机构可在开标记录上签字确认；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color w:val="auto"/>
          <w:highlight w:val="none"/>
          <w:lang w:val="en-US" w:eastAsia="en-US"/>
        </w:rPr>
      </w:pPr>
      <w:r>
        <w:rPr>
          <w:rFonts w:hint="eastAsia"/>
          <w:color w:val="auto"/>
          <w:highlight w:val="none"/>
          <w:lang w:val="en-US" w:eastAsia="en-US"/>
        </w:rPr>
        <w:t>（</w:t>
      </w:r>
      <w:r>
        <w:rPr>
          <w:rFonts w:hint="eastAsia"/>
          <w:color w:val="auto"/>
          <w:highlight w:val="none"/>
          <w:lang w:val="en-US" w:eastAsia="zh-CN"/>
        </w:rPr>
        <w:t>6</w:t>
      </w:r>
      <w:r>
        <w:rPr>
          <w:rFonts w:hint="eastAsia"/>
          <w:color w:val="auto"/>
          <w:highlight w:val="none"/>
          <w:lang w:val="en-US" w:eastAsia="en-US"/>
        </w:rPr>
        <w:t>）开标结束。</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r>
        <w:rPr>
          <w:rFonts w:ascii="黑体" w:hAnsi="黑体" w:eastAsia="黑体" w:cs="黑体"/>
          <w:color w:val="auto"/>
          <w:sz w:val="28"/>
          <w:szCs w:val="28"/>
          <w:highlight w:val="none"/>
        </w:rPr>
        <w:t>5.3 开标异议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color w:val="auto"/>
          <w:highlight w:val="none"/>
        </w:rPr>
      </w:pPr>
      <w:r>
        <w:rPr>
          <w:color w:val="auto"/>
          <w:highlight w:val="none"/>
        </w:rPr>
        <w:t>投标人对开标有异议的，应当在交易平台提出，招标人</w:t>
      </w:r>
      <w:r>
        <w:rPr>
          <w:rFonts w:hint="eastAsia"/>
          <w:color w:val="auto"/>
          <w:highlight w:val="none"/>
        </w:rPr>
        <w:t>或者招标代理</w:t>
      </w:r>
      <w:r>
        <w:rPr>
          <w:color w:val="auto"/>
          <w:highlight w:val="none"/>
        </w:rPr>
        <w:t>当场作出答复，并制作记录。</w:t>
      </w:r>
      <w:r>
        <w:rPr>
          <w:rFonts w:hint="eastAsia"/>
          <w:color w:val="auto"/>
          <w:highlight w:val="none"/>
        </w:rPr>
        <w:t>在规定统一提出异议时间内不提出异议的，则视为对开标结果无异议。</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09" w:name="5.4开标其他情况"/>
      <w:bookmarkEnd w:id="109"/>
      <w:bookmarkStart w:id="110" w:name="6. 评标"/>
      <w:bookmarkEnd w:id="110"/>
      <w:bookmarkStart w:id="111" w:name="_Toc1850"/>
      <w:r>
        <w:rPr>
          <w:rFonts w:ascii="黑体" w:hAnsi="黑体" w:eastAsia="黑体" w:cs="黑体"/>
          <w:b/>
          <w:bCs/>
          <w:color w:val="auto"/>
          <w:sz w:val="28"/>
          <w:szCs w:val="28"/>
          <w:highlight w:val="none"/>
        </w:rPr>
        <w:t>6.</w:t>
      </w:r>
      <w:r>
        <w:rPr>
          <w:rFonts w:ascii="黑体" w:hAnsi="黑体" w:eastAsia="黑体" w:cs="黑体"/>
          <w:b/>
          <w:bCs/>
          <w:color w:val="auto"/>
          <w:spacing w:val="-6"/>
          <w:sz w:val="28"/>
          <w:szCs w:val="28"/>
          <w:highlight w:val="none"/>
        </w:rPr>
        <w:t xml:space="preserve"> </w:t>
      </w:r>
      <w:r>
        <w:rPr>
          <w:rFonts w:ascii="黑体" w:hAnsi="黑体" w:eastAsia="黑体" w:cs="黑体"/>
          <w:b/>
          <w:bCs/>
          <w:color w:val="auto"/>
          <w:sz w:val="28"/>
          <w:szCs w:val="28"/>
          <w:highlight w:val="none"/>
        </w:rPr>
        <w:t>评标</w:t>
      </w:r>
      <w:bookmarkEnd w:id="111"/>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1"/>
          <w:szCs w:val="21"/>
          <w:highlight w:val="none"/>
        </w:rPr>
      </w:pPr>
      <w:bookmarkStart w:id="112" w:name="_bookmark58"/>
      <w:bookmarkEnd w:id="112"/>
      <w:bookmarkStart w:id="113" w:name="6.1 评标委员会"/>
      <w:bookmarkEnd w:id="113"/>
      <w:r>
        <w:rPr>
          <w:rFonts w:ascii="黑体" w:hAnsi="黑体" w:eastAsia="黑体" w:cs="黑体"/>
          <w:color w:val="auto"/>
          <w:sz w:val="28"/>
          <w:szCs w:val="28"/>
          <w:highlight w:val="none"/>
        </w:rPr>
        <w:t>6.1</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评标委员会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6.1.1</w:t>
      </w:r>
      <w:r>
        <w:rPr>
          <w:rFonts w:hint="eastAsia" w:ascii="宋体" w:hAnsi="宋体" w:eastAsia="宋体" w:cs="宋体"/>
          <w:color w:val="auto"/>
          <w:spacing w:val="-45"/>
          <w:w w:val="100"/>
          <w:sz w:val="21"/>
          <w:szCs w:val="21"/>
          <w:highlight w:val="none"/>
        </w:rPr>
        <w:t xml:space="preserve"> </w:t>
      </w:r>
      <w:r>
        <w:rPr>
          <w:rFonts w:hint="eastAsia" w:ascii="宋体" w:hAnsi="宋体" w:eastAsia="宋体" w:cs="宋体"/>
          <w:color w:val="auto"/>
          <w:w w:val="100"/>
          <w:sz w:val="21"/>
          <w:szCs w:val="21"/>
          <w:highlight w:val="none"/>
        </w:rPr>
        <w:t>评标由招标人依法组建的评标委员会负责。评标委员会由招标人熟悉相关业务的代表以及有关技术、经济等方面的专家组成。评标委员会成员人数以及技术、经济等方面专家的确定方式见投标人须知前附表。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6.1.2</w:t>
      </w:r>
      <w:r>
        <w:rPr>
          <w:rFonts w:hint="eastAsia" w:ascii="宋体" w:hAnsi="宋体" w:eastAsia="宋体" w:cs="宋体"/>
          <w:color w:val="auto"/>
          <w:spacing w:val="-14"/>
          <w:w w:val="100"/>
          <w:sz w:val="21"/>
          <w:szCs w:val="21"/>
          <w:highlight w:val="none"/>
        </w:rPr>
        <w:t xml:space="preserve"> </w:t>
      </w:r>
      <w:r>
        <w:rPr>
          <w:rFonts w:hint="eastAsia" w:ascii="宋体" w:hAnsi="宋体" w:eastAsia="宋体" w:cs="宋体"/>
          <w:color w:val="auto"/>
          <w:w w:val="100"/>
          <w:sz w:val="21"/>
          <w:szCs w:val="21"/>
          <w:highlight w:val="none"/>
        </w:rPr>
        <w:t>评标委员会成员有下列情形之一的，应当回避：</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（1）招标人或投标人的主要负责人的近亲属；</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（2）项目主管部门或者行政监督部门的人员；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（3）与投标人有经济利益关系，可能影响对投标公正评审的；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8"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2"/>
          <w:w w:val="100"/>
          <w:sz w:val="21"/>
          <w:szCs w:val="21"/>
          <w:highlight w:val="none"/>
        </w:rPr>
        <w:t>（4）曾因在招标、评标以及其他与招标投标有关活动中从事违法行为而受过行政处罚或刑</w:t>
      </w:r>
      <w:r>
        <w:rPr>
          <w:rFonts w:hint="eastAsia" w:ascii="宋体" w:hAnsi="宋体" w:eastAsia="宋体" w:cs="宋体"/>
          <w:color w:val="auto"/>
          <w:w w:val="100"/>
          <w:sz w:val="21"/>
          <w:szCs w:val="21"/>
          <w:highlight w:val="none"/>
        </w:rPr>
        <w:t xml:space="preserve"> 事处罚的。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8"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spacing w:val="2"/>
          <w:w w:val="100"/>
          <w:sz w:val="21"/>
          <w:szCs w:val="21"/>
          <w:highlight w:val="none"/>
        </w:rPr>
        <w:t>（</w:t>
      </w:r>
      <w:r>
        <w:rPr>
          <w:rFonts w:hint="eastAsia" w:ascii="宋体" w:hAnsi="宋体" w:eastAsia="宋体" w:cs="宋体"/>
          <w:color w:val="auto"/>
          <w:spacing w:val="2"/>
          <w:w w:val="100"/>
          <w:sz w:val="21"/>
          <w:szCs w:val="21"/>
          <w:highlight w:val="none"/>
          <w:lang w:val="en-US" w:eastAsia="zh-CN"/>
        </w:rPr>
        <w:t>5</w:t>
      </w:r>
      <w:r>
        <w:rPr>
          <w:rFonts w:hint="eastAsia" w:ascii="宋体" w:hAnsi="宋体" w:eastAsia="宋体" w:cs="宋体"/>
          <w:color w:val="auto"/>
          <w:spacing w:val="2"/>
          <w:w w:val="100"/>
          <w:sz w:val="21"/>
          <w:szCs w:val="21"/>
          <w:highlight w:val="none"/>
        </w:rPr>
        <w:t>）</w:t>
      </w:r>
      <w:r>
        <w:rPr>
          <w:rFonts w:hint="eastAsia" w:ascii="宋体" w:hAnsi="宋体" w:eastAsia="宋体" w:cs="宋体"/>
          <w:color w:val="auto"/>
          <w:w w:val="100"/>
          <w:sz w:val="21"/>
          <w:szCs w:val="21"/>
          <w:highlight w:val="none"/>
        </w:rPr>
        <w:t>与投标人有其他利害关系。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14" w:name="6.2 评标原则"/>
      <w:bookmarkEnd w:id="114"/>
      <w:bookmarkStart w:id="115" w:name="_bookmark59"/>
      <w:bookmarkEnd w:id="115"/>
      <w:r>
        <w:rPr>
          <w:rFonts w:ascii="黑体" w:hAnsi="黑体" w:eastAsia="黑体" w:cs="黑体"/>
          <w:color w:val="auto"/>
          <w:sz w:val="28"/>
          <w:szCs w:val="28"/>
          <w:highlight w:val="none"/>
        </w:rPr>
        <w:t>6.2</w:t>
      </w:r>
      <w:r>
        <w:rPr>
          <w:rFonts w:ascii="黑体" w:hAnsi="黑体" w:eastAsia="黑体" w:cs="黑体"/>
          <w:color w:val="auto"/>
          <w:spacing w:val="-4"/>
          <w:sz w:val="28"/>
          <w:szCs w:val="28"/>
          <w:highlight w:val="none"/>
        </w:rPr>
        <w:t xml:space="preserve"> </w:t>
      </w:r>
      <w:r>
        <w:rPr>
          <w:rFonts w:ascii="黑体" w:hAnsi="黑体" w:eastAsia="黑体" w:cs="黑体"/>
          <w:color w:val="auto"/>
          <w:sz w:val="28"/>
          <w:szCs w:val="28"/>
          <w:highlight w:val="none"/>
        </w:rPr>
        <w:t>评标原则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评标活动遵循公平、公正、科学和择优的原则。</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rPr>
      </w:pPr>
      <w:bookmarkStart w:id="116" w:name="_bookmark60"/>
      <w:bookmarkEnd w:id="116"/>
      <w:bookmarkStart w:id="117" w:name="6.3 评标"/>
      <w:bookmarkEnd w:id="117"/>
      <w:r>
        <w:rPr>
          <w:rFonts w:ascii="黑体" w:hAnsi="黑体" w:eastAsia="黑体" w:cs="黑体"/>
          <w:color w:val="auto"/>
          <w:sz w:val="28"/>
          <w:szCs w:val="28"/>
          <w:highlight w:val="none"/>
        </w:rPr>
        <w:t>6.3</w:t>
      </w:r>
      <w:r>
        <w:rPr>
          <w:rFonts w:ascii="黑体" w:hAnsi="黑体" w:eastAsia="黑体" w:cs="黑体"/>
          <w:color w:val="auto"/>
          <w:spacing w:val="-2"/>
          <w:sz w:val="28"/>
          <w:szCs w:val="28"/>
          <w:highlight w:val="none"/>
        </w:rPr>
        <w:t xml:space="preserve"> </w:t>
      </w:r>
      <w:r>
        <w:rPr>
          <w:rFonts w:ascii="黑体" w:hAnsi="黑体" w:eastAsia="黑体" w:cs="黑体"/>
          <w:color w:val="auto"/>
          <w:sz w:val="28"/>
          <w:szCs w:val="28"/>
          <w:highlight w:val="none"/>
        </w:rPr>
        <w:t>评标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rPr>
      </w:pPr>
      <w:r>
        <w:rPr>
          <w:rFonts w:hint="eastAsia" w:ascii="宋体" w:hAnsi="宋体" w:eastAsia="宋体" w:cs="宋体"/>
          <w:color w:val="auto"/>
          <w:w w:val="100"/>
          <w:sz w:val="21"/>
          <w:szCs w:val="21"/>
          <w:highlight w:val="none"/>
        </w:rPr>
        <w:t>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ascii="黑体" w:hAnsi="黑体" w:eastAsia="黑体" w:cs="黑体"/>
          <w:b/>
          <w:bCs/>
          <w:color w:val="auto"/>
          <w:sz w:val="28"/>
          <w:szCs w:val="28"/>
          <w:highlight w:val="none"/>
        </w:rPr>
      </w:pPr>
      <w:bookmarkStart w:id="118" w:name="7. 合同授予"/>
      <w:bookmarkEnd w:id="118"/>
      <w:bookmarkStart w:id="119" w:name="_bookmark61"/>
      <w:bookmarkEnd w:id="119"/>
      <w:bookmarkStart w:id="120" w:name="_Toc7967"/>
      <w:r>
        <w:rPr>
          <w:rFonts w:ascii="黑体" w:hAnsi="黑体" w:eastAsia="黑体" w:cs="黑体"/>
          <w:b/>
          <w:bCs/>
          <w:color w:val="auto"/>
          <w:sz w:val="28"/>
          <w:szCs w:val="28"/>
          <w:highlight w:val="none"/>
        </w:rPr>
        <w:t>7. 合同授予</w:t>
      </w:r>
      <w:bookmarkEnd w:id="120"/>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z w:val="28"/>
          <w:szCs w:val="28"/>
          <w:highlight w:val="none"/>
          <w:lang w:eastAsia="zh-CN"/>
        </w:rPr>
      </w:pPr>
      <w:bookmarkStart w:id="121" w:name="_bookmark62"/>
      <w:bookmarkEnd w:id="121"/>
      <w:bookmarkStart w:id="122" w:name="7.1 中标候选人公示"/>
      <w:bookmarkEnd w:id="122"/>
      <w:r>
        <w:rPr>
          <w:rFonts w:hint="eastAsia" w:ascii="黑体" w:hAnsi="黑体" w:eastAsia="黑体" w:cs="黑体"/>
          <w:color w:val="auto"/>
          <w:sz w:val="28"/>
          <w:szCs w:val="28"/>
          <w:highlight w:val="none"/>
          <w:lang w:eastAsia="zh-CN"/>
        </w:rPr>
        <w:t>7.1定标方式</w:t>
      </w:r>
    </w:p>
    <w:p>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除投标人须知前附表规定评标委员会直接确定中标人外，招标人依据评标委员会推荐的中标候选人确定中标人，评标委员会推荐中标候选人的人数见投标人须知前附表。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7.2中标候选人公示</w:t>
      </w:r>
    </w:p>
    <w:p>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中标候选人公示详见投标人须知前附表7.2条规定。</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7.3中标通知</w:t>
      </w:r>
    </w:p>
    <w:p>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在本章第3.3款规定的投标有效期内，招标人在公共资源交易平台向中标人发出中标通知书。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7.4履约担保</w:t>
      </w:r>
    </w:p>
    <w:p>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7.4.1在签订合同前，中标人应按投标人须知前附表规定的担保形式和招标文件第四章“合同条款及格式”规定的或者事先经过招标人书面认可的履约担保格式向招标人提交履约担保。（同时招标人提供同等的支付担保）履约担保金额为中标合同金额的5%-10%。</w:t>
      </w:r>
    </w:p>
    <w:p>
      <w:pPr>
        <w:adjustRightInd w:val="0"/>
        <w:snapToGrid w:val="0"/>
        <w:spacing w:after="0" w:line="360" w:lineRule="auto"/>
        <w:ind w:firstLine="420" w:firstLineChars="200"/>
        <w:jc w:val="left"/>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7.4.2中标人不能按本章第7.4.1项要求提交履约担保的，视为放弃中标，其投标保证金不予退还，给招标人造成的损失超过投标保证金数额的，中标人还应当对超过部分予以赔偿。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lang w:eastAsia="zh-CN"/>
        </w:rPr>
        <w:t>7.5签订合同</w:t>
      </w:r>
    </w:p>
    <w:p>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adjustRightInd w:val="0"/>
        <w:snapToGrid w:val="0"/>
        <w:spacing w:after="0" w:line="360" w:lineRule="auto"/>
        <w:ind w:firstLine="420" w:firstLineChars="200"/>
        <w:rPr>
          <w:rFonts w:ascii="宋体" w:hAnsi="宋体" w:eastAsia="宋体" w:cs="Times New Roman"/>
          <w:color w:val="auto"/>
          <w:kern w:val="0"/>
          <w:sz w:val="21"/>
          <w:szCs w:val="24"/>
          <w:highlight w:val="none"/>
          <w:lang w:eastAsia="zh-CN"/>
        </w:rPr>
      </w:pPr>
      <w:r>
        <w:rPr>
          <w:rFonts w:hint="eastAsia" w:ascii="宋体" w:hAnsi="宋体" w:eastAsia="宋体" w:cs="Times New Roman"/>
          <w:color w:val="auto"/>
          <w:kern w:val="0"/>
          <w:sz w:val="21"/>
          <w:szCs w:val="24"/>
          <w:highlight w:val="none"/>
          <w:lang w:eastAsia="zh-CN"/>
        </w:rPr>
        <w:t>7.5.2发出中标通知书后，招标人无正当理由拒签合同的，招标人向中标人退还投标保证金；给中标人造成损失的，还应当赔偿损失。</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b/>
          <w:bCs/>
          <w:color w:val="auto"/>
          <w:sz w:val="28"/>
          <w:szCs w:val="28"/>
          <w:highlight w:val="none"/>
        </w:rPr>
      </w:pPr>
      <w:bookmarkStart w:id="123" w:name="_Toc29911"/>
      <w:r>
        <w:rPr>
          <w:rFonts w:hint="eastAsia" w:ascii="黑体" w:hAnsi="黑体" w:eastAsia="黑体" w:cs="黑体"/>
          <w:b/>
          <w:bCs/>
          <w:color w:val="auto"/>
          <w:sz w:val="28"/>
          <w:szCs w:val="28"/>
          <w:highlight w:val="none"/>
        </w:rPr>
        <w:t>8．重新招标和不再招标</w:t>
      </w:r>
      <w:bookmarkEnd w:id="123"/>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pacing w:val="0"/>
          <w:w w:val="100"/>
          <w:sz w:val="28"/>
          <w:szCs w:val="28"/>
          <w:highlight w:val="none"/>
          <w:lang w:val="en-US" w:eastAsia="en-US"/>
        </w:rPr>
      </w:pPr>
      <w:bookmarkStart w:id="124" w:name="_Toc152042348"/>
      <w:bookmarkStart w:id="125" w:name="_Toc144974540"/>
      <w:bookmarkStart w:id="126" w:name="_Toc152045572"/>
      <w:bookmarkStart w:id="127" w:name="_Toc179632590"/>
      <w:r>
        <w:rPr>
          <w:rFonts w:ascii="黑体" w:hAnsi="黑体" w:eastAsia="黑体" w:cs="黑体"/>
          <w:color w:val="auto"/>
          <w:spacing w:val="0"/>
          <w:w w:val="100"/>
          <w:sz w:val="28"/>
          <w:szCs w:val="28"/>
          <w:highlight w:val="none"/>
          <w:lang w:val="en-US" w:eastAsia="en-US"/>
        </w:rPr>
        <w:t xml:space="preserve">8.1 </w:t>
      </w:r>
      <w:r>
        <w:rPr>
          <w:rFonts w:hint="eastAsia" w:ascii="黑体" w:hAnsi="黑体" w:eastAsia="黑体" w:cs="黑体"/>
          <w:color w:val="auto"/>
          <w:spacing w:val="0"/>
          <w:w w:val="100"/>
          <w:sz w:val="28"/>
          <w:szCs w:val="28"/>
          <w:highlight w:val="none"/>
          <w:lang w:val="en-US" w:eastAsia="en-US"/>
        </w:rPr>
        <w:t>重新招标</w:t>
      </w:r>
      <w:bookmarkEnd w:id="124"/>
      <w:bookmarkEnd w:id="125"/>
      <w:bookmarkEnd w:id="126"/>
      <w:bookmarkEnd w:id="127"/>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有下列情形之一的，招标人将重新招标：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(1)投标截止时间止，投标人少于3个的；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(2)经评标委员会评审后否决所有投标的。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(3)在投标有效期内招标人要求延长投标有效期，但同意延长投标有效期的投标人少于三个的，应当依法重新招标。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(4)法律、法规规定的应当重新招标的其他情形。</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pacing w:val="0"/>
          <w:w w:val="100"/>
          <w:sz w:val="28"/>
          <w:szCs w:val="28"/>
          <w:highlight w:val="none"/>
          <w:lang w:val="en-US" w:eastAsia="en-US"/>
        </w:rPr>
      </w:pPr>
      <w:bookmarkStart w:id="128" w:name="_Toc152045573"/>
      <w:bookmarkStart w:id="129" w:name="_Toc179632591"/>
      <w:bookmarkStart w:id="130" w:name="_Toc144974541"/>
      <w:bookmarkStart w:id="131" w:name="_Toc152042349"/>
      <w:r>
        <w:rPr>
          <w:rFonts w:ascii="黑体" w:hAnsi="黑体" w:eastAsia="黑体" w:cs="黑体"/>
          <w:color w:val="auto"/>
          <w:spacing w:val="0"/>
          <w:w w:val="100"/>
          <w:sz w:val="28"/>
          <w:szCs w:val="28"/>
          <w:highlight w:val="none"/>
          <w:lang w:val="en-US" w:eastAsia="en-US"/>
        </w:rPr>
        <w:t xml:space="preserve">8.2 </w:t>
      </w:r>
      <w:r>
        <w:rPr>
          <w:rFonts w:hint="eastAsia" w:ascii="黑体" w:hAnsi="黑体" w:eastAsia="黑体" w:cs="黑体"/>
          <w:color w:val="auto"/>
          <w:spacing w:val="0"/>
          <w:w w:val="100"/>
          <w:sz w:val="28"/>
          <w:szCs w:val="28"/>
          <w:highlight w:val="none"/>
          <w:lang w:val="en-US" w:eastAsia="en-US"/>
        </w:rPr>
        <w:t>不再招标</w:t>
      </w:r>
      <w:bookmarkEnd w:id="128"/>
      <w:bookmarkEnd w:id="129"/>
      <w:bookmarkEnd w:id="130"/>
      <w:bookmarkEnd w:id="131"/>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重新招标后投标人仍少于3个或者所有投标被否决的，属于必须审批或核准的工程建设项目，经原审批或核准部门批准后不再进行招标。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b/>
          <w:bCs/>
          <w:color w:val="auto"/>
          <w:sz w:val="28"/>
          <w:szCs w:val="28"/>
          <w:highlight w:val="none"/>
        </w:rPr>
      </w:pPr>
      <w:bookmarkStart w:id="132" w:name="8.纪律和监督"/>
      <w:bookmarkEnd w:id="132"/>
      <w:bookmarkStart w:id="133" w:name="_Toc32614"/>
      <w:r>
        <w:rPr>
          <w:rFonts w:hint="eastAsia" w:ascii="黑体" w:hAnsi="黑体" w:eastAsia="黑体" w:cs="黑体"/>
          <w:b/>
          <w:bCs/>
          <w:color w:val="auto"/>
          <w:sz w:val="28"/>
          <w:szCs w:val="28"/>
          <w:highlight w:val="none"/>
          <w:lang w:val="en-US" w:eastAsia="zh-CN"/>
        </w:rPr>
        <w:t>9</w:t>
      </w:r>
      <w:r>
        <w:rPr>
          <w:rFonts w:hint="eastAsia" w:ascii="黑体" w:hAnsi="黑体" w:eastAsia="黑体" w:cs="黑体"/>
          <w:b/>
          <w:bCs/>
          <w:color w:val="auto"/>
          <w:sz w:val="28"/>
          <w:szCs w:val="28"/>
          <w:highlight w:val="none"/>
        </w:rPr>
        <w:t>.</w:t>
      </w:r>
      <w:bookmarkStart w:id="134" w:name="_bookmark64"/>
      <w:bookmarkEnd w:id="134"/>
      <w:r>
        <w:rPr>
          <w:rFonts w:hint="eastAsia" w:ascii="黑体" w:hAnsi="黑体" w:eastAsia="黑体" w:cs="黑体"/>
          <w:b/>
          <w:bCs/>
          <w:color w:val="auto"/>
          <w:sz w:val="28"/>
          <w:szCs w:val="28"/>
          <w:highlight w:val="none"/>
        </w:rPr>
        <w:t>纪律和监督</w:t>
      </w:r>
      <w:bookmarkEnd w:id="133"/>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ascii="黑体" w:hAnsi="黑体" w:eastAsia="黑体" w:cs="黑体"/>
          <w:color w:val="auto"/>
          <w:spacing w:val="0"/>
          <w:w w:val="100"/>
          <w:sz w:val="28"/>
          <w:szCs w:val="28"/>
          <w:highlight w:val="none"/>
        </w:rPr>
      </w:pPr>
      <w:bookmarkStart w:id="135" w:name="8.1 对招标人的纪律要求"/>
      <w:bookmarkEnd w:id="135"/>
      <w:bookmarkStart w:id="136" w:name="_bookmark65"/>
      <w:bookmarkEnd w:id="136"/>
      <w:r>
        <w:rPr>
          <w:rFonts w:hint="eastAsia" w:ascii="黑体" w:hAnsi="黑体" w:eastAsia="黑体" w:cs="黑体"/>
          <w:color w:val="auto"/>
          <w:spacing w:val="0"/>
          <w:w w:val="100"/>
          <w:sz w:val="28"/>
          <w:szCs w:val="28"/>
          <w:highlight w:val="none"/>
          <w:lang w:val="en-US" w:eastAsia="zh-CN"/>
        </w:rPr>
        <w:t>9</w:t>
      </w:r>
      <w:r>
        <w:rPr>
          <w:rFonts w:ascii="黑体" w:hAnsi="黑体" w:eastAsia="黑体" w:cs="黑体"/>
          <w:color w:val="auto"/>
          <w:spacing w:val="0"/>
          <w:w w:val="100"/>
          <w:sz w:val="28"/>
          <w:szCs w:val="28"/>
          <w:highlight w:val="none"/>
        </w:rPr>
        <w:t>.1 对招标人的纪律要求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招标人不得泄漏招标投标活动中应当保密的情况和资料，不得与投标人串通损害国家利益、社会公共利益或者他人合法权益。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下列行为均属招标人与投标人串通投标：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（一）招标人在开标前开启投标文件并将有关信息泄露给其他投标人；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（二）招标人直接或者间接向投标人泄露标底、评标委员会成员等信息；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（三）招标人明示或者暗示投标人压低或者抬高投标报价；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（四）招标人授意投标人撤换、修改投标文件；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（五）招标人明示或者暗示投标人为特定投标人中标提供方便；</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（六）招标人与投标人为谋求特定投标人中标而采取的其他串通行为。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37" w:name="8.2 对投标人的纪律要求"/>
      <w:bookmarkEnd w:id="137"/>
      <w:bookmarkStart w:id="138" w:name="_bookmark66"/>
      <w:bookmarkEnd w:id="138"/>
      <w:r>
        <w:rPr>
          <w:rFonts w:hint="eastAsia" w:ascii="黑体" w:hAnsi="黑体" w:eastAsia="黑体" w:cs="黑体"/>
          <w:color w:val="auto"/>
          <w:spacing w:val="0"/>
          <w:w w:val="100"/>
          <w:sz w:val="28"/>
          <w:szCs w:val="28"/>
          <w:highlight w:val="none"/>
          <w:lang w:val="en-US" w:eastAsia="zh-CN"/>
        </w:rPr>
        <w:t>9.2 对投标人的纪律要求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投标人不得相互串通投标或者与招标人串通投标，不得向招标人或者评标委员会成员行贿谋取中标，不得以他人名义投标或者以其它方式弄虚作假骗取中标；投标人不得以任何方式干扰、影响评标工作。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.2.1下列行为均属以他人名义投标：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（1）投标人挂靠其它施工单位；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（2）投标人从其它施工单位通过转让或租借的方式获取资格或资质证书；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（3）由其它单位及法定代表人在自己编制的投标文件上加盖印章或签字的行为。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.2.2下列行为，视为他人以本单位名义承揽工程：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（1）投标人的法定代表人的委托代理人不是投标人本单位人员；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（2）投标人拟在施工现场所设项目管理机构的项目负责人、技术负责人、财务负责人、质量管理人员、安全管理人员（专职安全生产管理人员）不是本单位人员。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投标人本单位人员，必须同时满足以下条件：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（1）聘任合同必须由投标人单位与之签订；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（2）投标人单位为其办理社会保险关系，或具有其它有效证明其为本单位人员身份的文件。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.2.3下列行为均属投标人串通投标报价：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（1）投标人之间相互约定抬高或压低投标报价；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（2）投标人之间相互约定，在招标项目中分别以高、中、低价位报价；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（3）投标人之间先进行内部竞价，内定中标人，然后再参加投标；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（4）投标人之间其它串通投标报价的行为。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.2.4有下列情形之一的，视为投标人相互串通投标：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（1）不同投标人的投标文件由同一单位或者个人编制；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（2）不同投标人委托同一单位或者个人办理投标事宜；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（3）不同投标人的投标文件载明的项目管理成员为同一人；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（4）不同投标人的投标文件异常一致或者投标报价呈规律性差异；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（5）不同投标人的投标文件相互混装；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（6）不同投标人的投标保证金从同一单位或者个人的账户转出。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 xml:space="preserve"> </w:t>
      </w: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.2.5有下列情形之一的，属于投标人弄虚作假的行为：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（1）使用伪造、变造的许可证件；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（2）提供虚假的财务状况或者业绩；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（3）提供虚假的项目负责人或者主要技术人员简历、劳动关系证明；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（4）提供虚假的信用状况；</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（5）其他弄虚作假的行为。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cs="宋体"/>
          <w:color w:val="auto"/>
          <w:w w:val="100"/>
          <w:sz w:val="21"/>
          <w:szCs w:val="21"/>
          <w:highlight w:val="none"/>
          <w:lang w:val="en-US" w:eastAsia="zh-CN"/>
        </w:rPr>
        <w:t>9</w:t>
      </w:r>
      <w:r>
        <w:rPr>
          <w:rFonts w:hint="eastAsia" w:ascii="宋体" w:hAnsi="宋体" w:eastAsia="宋体" w:cs="宋体"/>
          <w:color w:val="auto"/>
          <w:w w:val="100"/>
          <w:sz w:val="21"/>
          <w:szCs w:val="21"/>
          <w:highlight w:val="none"/>
          <w:lang w:val="en-US" w:eastAsia="en-US"/>
        </w:rPr>
        <w:t>.2.6有下列情形的，评标委员会应否决其投标，行政监督部门并将进一步核查是否存在串通投标：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不同投标人的投标文件由同一台电脑编制、上传（例如 MAC 码一致）。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39" w:name="8.3 对评标委员会成员的纪律要求"/>
      <w:bookmarkEnd w:id="139"/>
      <w:bookmarkStart w:id="140" w:name="_bookmark67"/>
      <w:bookmarkEnd w:id="140"/>
      <w:r>
        <w:rPr>
          <w:rFonts w:hint="eastAsia" w:ascii="黑体" w:hAnsi="黑体" w:eastAsia="黑体" w:cs="黑体"/>
          <w:color w:val="auto"/>
          <w:spacing w:val="0"/>
          <w:w w:val="100"/>
          <w:sz w:val="28"/>
          <w:szCs w:val="28"/>
          <w:highlight w:val="none"/>
          <w:lang w:val="en-US" w:eastAsia="zh-CN"/>
        </w:rPr>
        <w:t>9.3 对评标委员会成员的纪律要求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41" w:name="8.4 对与评标活动有关的工作人员的纪律要求"/>
      <w:bookmarkEnd w:id="141"/>
      <w:bookmarkStart w:id="142" w:name="_bookmark68"/>
      <w:bookmarkEnd w:id="142"/>
      <w:r>
        <w:rPr>
          <w:rFonts w:hint="eastAsia" w:ascii="黑体" w:hAnsi="黑体" w:eastAsia="黑体" w:cs="黑体"/>
          <w:color w:val="auto"/>
          <w:spacing w:val="0"/>
          <w:w w:val="100"/>
          <w:sz w:val="28"/>
          <w:szCs w:val="28"/>
          <w:highlight w:val="none"/>
          <w:lang w:val="en-US" w:eastAsia="zh-CN"/>
        </w:rPr>
        <w:t>9.4 对与评标活动有关的工作人员的纪律要求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3"/>
        <w:rPr>
          <w:rFonts w:hint="eastAsia" w:ascii="黑体" w:hAnsi="黑体" w:eastAsia="黑体" w:cs="黑体"/>
          <w:color w:val="auto"/>
          <w:spacing w:val="0"/>
          <w:w w:val="100"/>
          <w:sz w:val="28"/>
          <w:szCs w:val="28"/>
          <w:highlight w:val="none"/>
          <w:lang w:val="en-US" w:eastAsia="zh-CN"/>
        </w:rPr>
      </w:pPr>
      <w:bookmarkStart w:id="143" w:name="8.5 投诉"/>
      <w:bookmarkEnd w:id="143"/>
      <w:bookmarkStart w:id="144" w:name="_bookmark69"/>
      <w:bookmarkEnd w:id="144"/>
      <w:r>
        <w:rPr>
          <w:rFonts w:hint="eastAsia" w:ascii="黑体" w:hAnsi="黑体" w:eastAsia="黑体" w:cs="黑体"/>
          <w:color w:val="auto"/>
          <w:spacing w:val="0"/>
          <w:w w:val="100"/>
          <w:sz w:val="28"/>
          <w:szCs w:val="28"/>
          <w:highlight w:val="none"/>
          <w:lang w:val="en-US" w:eastAsia="zh-CN"/>
        </w:rPr>
        <w:t>9.5 异议和投诉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9.5.1异议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9.5.1.1潜在投标人或者其他利害关系人对招标文件有异议的，应当在投标截止时间10日前提出。招标人应当自收到异议之日起3日内作出答复；作出答复前，应当暂停招标投标活动。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9.5.1.2投标人对开标有异议的，应当在开标现场或开标系统中及时提出，招标人或者招标代理应当当场或者在系统中作出答复，并制作记录。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9.5.1.3投标人或者其他利害关系人对依法必须进行招标的项目的评标结果有异议的，应当在中标候选人公示期间提出。招标人应当自收到异议之日起3日内作出答复；作出答复前，应当暂停招标投标活动。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9.5.2投诉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9.5.2.1投标人或者其他利害关系人认为招标投标活动不符合法律、行政法规规定的，应当在知道或者应当知道其权益受到侵害之日起十日内向有关行政监督部门提出书面投诉，其他利害关系人是指投标人以外的，与招标项目或者招标活动有直接和间接利益关系的法人、其他组织和个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9.5.2.2就本章9.5.1条规定事项投诉的，应当先向招标人提出异议，异议答复期间不计算在前款规定的期限内。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9.5.2.3投诉人投诉时，应当提交投诉书。投诉书应当包括下列内容：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（一）投诉人的名称、地址及有效联系方式；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（二）被投诉人的名称、地址及有效联系方式；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（三）投诉事项的基本事实；</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（四）相关请求及主张；</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（五）有效线索和相关证明材料。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投诉人是法人的，投诉书必须由其法定代表人或者授权代表签字并盖章；其他组织或者个人投诉的，投诉书必须由其主要负责人或者投诉人本人签字，并附有效身份证明复印件。投诉书有关材料是外文的，投诉人应当同时提供其中文译本。</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9.5.2.4投诉人不得以投诉为名排挤竞争对手，不得进行虚假、恶意投诉，阻碍招标投标活动的正常进行。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9.5.2.5投诉人可以直接投诉，也可以委托代理人办理投诉事务。代理人办理投诉事务时，应将授权委托书连同投诉书一并提交给行政监督部门。授权委托书应当明确有关委托代理权限和事项。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9.5.2.6有下列情形之一的投诉，不予受理；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（一）投诉人不是所投诉招标投标活动的参与者，或者与投诉项目无任何利害关系；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（二）投诉事项不具体，且未提供有效线索，难以查证的；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（三）投诉书未署具投诉人真实姓名、签字和有效联系方式的；以法人名义投诉的，投诉书未经法定代表人签字并加盖公章的；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（四）超过投诉时效的；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（五）已经作出处理决定，并且投诉人没有提出新的证据；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（六）投诉事项已进入行政复议或者行政诉讼程序的。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9.5.2.7未尽事宜，按国家现行有关法律法规、七部委11号令《工程建设项目招标投标活动投诉处理办法》和《云南省招标投标活动投诉处理办法》的规定执行。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2"/>
        <w:rPr>
          <w:rFonts w:hint="eastAsia" w:ascii="黑体" w:hAnsi="黑体" w:eastAsia="黑体" w:cs="黑体"/>
          <w:b/>
          <w:bCs/>
          <w:color w:val="auto"/>
          <w:sz w:val="28"/>
          <w:szCs w:val="28"/>
          <w:highlight w:val="none"/>
          <w:lang w:val="en-US" w:eastAsia="zh-CN"/>
        </w:rPr>
      </w:pPr>
      <w:bookmarkStart w:id="145" w:name="10. 需要补充的其他内容"/>
      <w:bookmarkEnd w:id="145"/>
      <w:bookmarkStart w:id="146" w:name="_bookmark71"/>
      <w:bookmarkEnd w:id="146"/>
      <w:bookmarkStart w:id="147" w:name="_Toc20675"/>
      <w:r>
        <w:rPr>
          <w:rFonts w:hint="eastAsia" w:ascii="黑体" w:hAnsi="黑体" w:eastAsia="黑体" w:cs="黑体"/>
          <w:b/>
          <w:bCs/>
          <w:color w:val="auto"/>
          <w:sz w:val="28"/>
          <w:szCs w:val="28"/>
          <w:highlight w:val="none"/>
          <w:lang w:val="en-US" w:eastAsia="zh-CN"/>
        </w:rPr>
        <w:t>10. 需要补充的其他内容</w:t>
      </w:r>
      <w:bookmarkEnd w:id="147"/>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420" w:firstLineChars="200"/>
        <w:jc w:val="both"/>
        <w:textAlignment w:val="auto"/>
        <w:rPr>
          <w:rFonts w:hint="eastAsia" w:ascii="宋体" w:hAnsi="宋体" w:eastAsia="宋体" w:cs="宋体"/>
          <w:color w:val="auto"/>
          <w:w w:val="100"/>
          <w:sz w:val="21"/>
          <w:szCs w:val="21"/>
          <w:highlight w:val="none"/>
          <w:lang w:val="en-US" w:eastAsia="en-US"/>
        </w:rPr>
      </w:pPr>
      <w:r>
        <w:rPr>
          <w:rFonts w:hint="eastAsia" w:ascii="宋体" w:hAnsi="宋体" w:eastAsia="宋体" w:cs="宋体"/>
          <w:color w:val="auto"/>
          <w:w w:val="100"/>
          <w:sz w:val="21"/>
          <w:szCs w:val="21"/>
          <w:highlight w:val="none"/>
          <w:lang w:val="en-US" w:eastAsia="en-US"/>
        </w:rPr>
        <w:t>需要补充的其他内容：见投标人须知前附表。</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color w:val="auto"/>
          <w:highlight w:val="none"/>
        </w:rPr>
        <w:sectPr>
          <w:footerReference r:id="rId7" w:type="default"/>
          <w:pgSz w:w="11910" w:h="16840"/>
          <w:pgMar w:top="2098" w:right="1531" w:bottom="1984" w:left="1531" w:header="0" w:footer="1177"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w:t>
      </w:r>
      <w:r>
        <w:rPr>
          <w:rFonts w:ascii="黑体" w:hAnsi="黑体" w:eastAsia="黑体" w:cs="黑体"/>
          <w:b/>
          <w:bCs/>
          <w:color w:val="auto"/>
          <w:spacing w:val="-87"/>
          <w:sz w:val="32"/>
          <w:szCs w:val="32"/>
          <w:highlight w:val="none"/>
        </w:rPr>
        <w:t xml:space="preserve"> </w:t>
      </w:r>
      <w:r>
        <w:rPr>
          <w:rFonts w:ascii="黑体" w:hAnsi="黑体" w:eastAsia="黑体" w:cs="黑体"/>
          <w:b/>
          <w:bCs/>
          <w:color w:val="auto"/>
          <w:sz w:val="32"/>
          <w:szCs w:val="32"/>
          <w:highlight w:val="none"/>
        </w:rPr>
        <w:t>1：招标文件修改通知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招标文件修改通知</w:t>
      </w:r>
    </w:p>
    <w:p>
      <w:pPr>
        <w:pStyle w:val="9"/>
        <w:keepNext w:val="0"/>
        <w:keepLines w:val="0"/>
        <w:pageBreakBefore w:val="0"/>
        <w:widowControl w:val="0"/>
        <w:tabs>
          <w:tab w:val="left" w:pos="1783"/>
        </w:tabs>
        <w:kinsoku/>
        <w:wordWrap/>
        <w:overflowPunct/>
        <w:topLinePunct w:val="0"/>
        <w:autoSpaceDE/>
        <w:autoSpaceDN/>
        <w:bidi w:val="0"/>
        <w:adjustRightInd w:val="0"/>
        <w:snapToGrid w:val="0"/>
        <w:spacing w:line="360" w:lineRule="auto"/>
        <w:ind w:left="0" w:right="0" w:firstLine="0" w:firstLineChars="0"/>
        <w:jc w:val="center"/>
        <w:textAlignment w:val="auto"/>
        <w:rPr>
          <w:color w:val="auto"/>
          <w:highlight w:val="none"/>
        </w:rPr>
      </w:pPr>
      <w:r>
        <w:rPr>
          <w:color w:val="auto"/>
          <w:w w:val="95"/>
          <w:highlight w:val="none"/>
        </w:rPr>
        <w:t>（编号：</w:t>
      </w:r>
      <w:r>
        <w:rPr>
          <w:rFonts w:ascii="Times New Roman" w:hAnsi="Times New Roman" w:eastAsia="Times New Roman" w:cs="Times New Roman"/>
          <w:color w:val="auto"/>
          <w:w w:val="95"/>
          <w:highlight w:val="none"/>
          <w:u w:val="single" w:color="000000"/>
        </w:rPr>
        <w:tab/>
      </w:r>
      <w:r>
        <w:rPr>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ascii="宋体" w:hAnsi="宋体" w:eastAsia="宋体" w:cs="宋体"/>
          <w:color w:val="auto"/>
          <w:sz w:val="28"/>
          <w:szCs w:val="28"/>
          <w:highlight w:val="none"/>
        </w:rPr>
      </w:pPr>
    </w:p>
    <w:p>
      <w:pPr>
        <w:pStyle w:val="9"/>
        <w:keepNext w:val="0"/>
        <w:keepLines w:val="0"/>
        <w:pageBreakBefore w:val="0"/>
        <w:widowControl w:val="0"/>
        <w:tabs>
          <w:tab w:val="left" w:pos="2628"/>
        </w:tabs>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经研究，对</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（项目名称）</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single"/>
        </w:rPr>
        <w:tab/>
      </w:r>
      <w:r>
        <w:rPr>
          <w:rFonts w:hint="eastAsia" w:asciiTheme="minorEastAsia" w:hAnsiTheme="minorEastAsia" w:eastAsiaTheme="minorEastAsia" w:cstheme="minorEastAsia"/>
          <w:color w:val="auto"/>
          <w:spacing w:val="0"/>
          <w:w w:val="100"/>
          <w:sz w:val="21"/>
          <w:szCs w:val="21"/>
          <w:highlight w:val="none"/>
        </w:rPr>
        <w:t>标段</w:t>
      </w:r>
      <w:r>
        <w:rPr>
          <w:rFonts w:hint="eastAsia" w:asciiTheme="minorEastAsia" w:hAnsiTheme="minorEastAsia" w:eastAsiaTheme="minorEastAsia" w:cstheme="minorEastAsia"/>
          <w:color w:val="auto"/>
          <w:spacing w:val="0"/>
          <w:w w:val="100"/>
          <w:sz w:val="21"/>
          <w:szCs w:val="21"/>
          <w:highlight w:val="none"/>
          <w:lang w:eastAsia="zh-CN"/>
        </w:rPr>
        <w:t>施工</w:t>
      </w:r>
      <w:r>
        <w:rPr>
          <w:rFonts w:hint="eastAsia" w:asciiTheme="minorEastAsia" w:hAnsiTheme="minorEastAsia" w:eastAsiaTheme="minorEastAsia" w:cstheme="minorEastAsia"/>
          <w:color w:val="auto"/>
          <w:spacing w:val="0"/>
          <w:w w:val="100"/>
          <w:sz w:val="21"/>
          <w:szCs w:val="21"/>
          <w:highlight w:val="none"/>
        </w:rPr>
        <w:t>招标文件，作如下修改：</w:t>
      </w:r>
    </w:p>
    <w:p>
      <w:pPr>
        <w:pStyle w:val="9"/>
        <w:keepNext w:val="0"/>
        <w:keepLines w:val="0"/>
        <w:pageBreakBefore w:val="0"/>
        <w:widowControl w:val="0"/>
        <w:tabs>
          <w:tab w:val="left" w:pos="2523"/>
          <w:tab w:val="left" w:pos="8946"/>
        </w:tabs>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 原条款第</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条为：</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pPr>
        <w:pStyle w:val="9"/>
        <w:keepNext w:val="0"/>
        <w:keepLines w:val="0"/>
        <w:pageBreakBefore w:val="0"/>
        <w:widowControl w:val="0"/>
        <w:tabs>
          <w:tab w:val="left" w:pos="7877"/>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现修改为</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u w:val="none" w:color="auto"/>
        </w:rPr>
        <w:t>。</w:t>
      </w:r>
    </w:p>
    <w:p>
      <w:pPr>
        <w:pStyle w:val="9"/>
        <w:keepNext w:val="0"/>
        <w:keepLines w:val="0"/>
        <w:pageBreakBefore w:val="0"/>
        <w:widowControl w:val="0"/>
        <w:tabs>
          <w:tab w:val="left" w:pos="1839"/>
        </w:tabs>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pPr>
        <w:pStyle w:val="9"/>
        <w:keepNext w:val="0"/>
        <w:keepLines w:val="0"/>
        <w:pageBreakBefore w:val="0"/>
        <w:widowControl w:val="0"/>
        <w:tabs>
          <w:tab w:val="left" w:pos="7740"/>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w w:val="95"/>
          <w:sz w:val="21"/>
          <w:szCs w:val="21"/>
          <w:highlight w:val="none"/>
        </w:rPr>
        <w:t>招标人（或招标代理机构）：</w:t>
      </w:r>
      <w:r>
        <w:rPr>
          <w:rFonts w:hint="eastAsia" w:asciiTheme="minorEastAsia" w:hAnsiTheme="minorEastAsia" w:eastAsiaTheme="minorEastAsia" w:cstheme="minorEastAsia"/>
          <w:color w:val="auto"/>
          <w:spacing w:val="-10"/>
          <w:w w:val="95"/>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（盖单位章）</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p>
      <w:pPr>
        <w:pStyle w:val="9"/>
        <w:keepNext w:val="0"/>
        <w:keepLines w:val="0"/>
        <w:pageBreakBefore w:val="0"/>
        <w:widowControl w:val="0"/>
        <w:tabs>
          <w:tab w:val="left" w:pos="5878"/>
          <w:tab w:val="left" w:pos="6929"/>
          <w:tab w:val="left" w:pos="7978"/>
        </w:tabs>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w w:val="95"/>
          <w:sz w:val="21"/>
          <w:szCs w:val="21"/>
          <w:highlight w:val="none"/>
        </w:rPr>
        <w:t>年</w:t>
      </w:r>
      <w:r>
        <w:rPr>
          <w:rFonts w:hint="eastAsia" w:asciiTheme="minorEastAsia" w:hAnsiTheme="minorEastAsia" w:eastAsiaTheme="minorEastAsia" w:cstheme="minorEastAsia"/>
          <w:color w:val="auto"/>
          <w:spacing w:val="1"/>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w w:val="95"/>
          <w:sz w:val="21"/>
          <w:szCs w:val="21"/>
          <w:highlight w:val="none"/>
        </w:rPr>
        <w:t>月</w:t>
      </w:r>
      <w:r>
        <w:rPr>
          <w:rFonts w:hint="eastAsia" w:asciiTheme="minorEastAsia" w:hAnsiTheme="minorEastAsia" w:eastAsiaTheme="minorEastAsia" w:cstheme="minorEastAsia"/>
          <w:color w:val="auto"/>
          <w:spacing w:val="-1"/>
          <w:w w:val="95"/>
          <w:sz w:val="21"/>
          <w:szCs w:val="21"/>
          <w:highlight w:val="none"/>
          <w:u w:val="single" w:color="000000"/>
        </w:rPr>
        <w:tab/>
      </w:r>
      <w:r>
        <w:rPr>
          <w:rFonts w:hint="eastAsia" w:asciiTheme="minorEastAsia" w:hAnsiTheme="minorEastAsia" w:eastAsiaTheme="minorEastAsia" w:cstheme="minorEastAsia"/>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hint="eastAsia" w:asciiTheme="minorEastAsia" w:hAnsiTheme="minorEastAsia" w:eastAsiaTheme="minorEastAsia" w:cstheme="minorEastAsia"/>
          <w:color w:val="auto"/>
          <w:sz w:val="21"/>
          <w:szCs w:val="21"/>
          <w:highlight w:val="none"/>
        </w:rPr>
        <w:sectPr>
          <w:pgSz w:w="11910" w:h="16840"/>
          <w:pgMar w:top="1580" w:right="1320" w:bottom="1360" w:left="1480" w:header="0" w:footer="1177"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 2：开标记录表</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pPr>
        <w:keepNext w:val="0"/>
        <w:keepLines w:val="0"/>
        <w:pageBreakBefore w:val="0"/>
        <w:widowControl w:val="0"/>
        <w:tabs>
          <w:tab w:val="left" w:pos="2590"/>
          <w:tab w:val="left" w:pos="497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（项目名称）</w:t>
      </w:r>
      <w:r>
        <w:rPr>
          <w:rFonts w:hint="eastAsia" w:ascii="黑体" w:hAnsi="黑体" w:eastAsia="黑体" w:cs="黑体"/>
          <w:color w:val="auto"/>
          <w:spacing w:val="-2"/>
          <w:sz w:val="28"/>
          <w:szCs w:val="28"/>
          <w:highlight w:val="none"/>
          <w:u w:val="single"/>
          <w:lang w:val="en-US" w:eastAsia="zh-CN"/>
        </w:rPr>
        <w:t xml:space="preserve">    </w:t>
      </w:r>
      <w:r>
        <w:rPr>
          <w:rFonts w:hint="eastAsia" w:ascii="Times New Roman" w:hAnsi="Times New Roman" w:eastAsia="宋体" w:cs="Times New Roman"/>
          <w:color w:val="auto"/>
          <w:spacing w:val="-2"/>
          <w:sz w:val="28"/>
          <w:szCs w:val="28"/>
          <w:highlight w:val="none"/>
          <w:u w:val="single" w:color="000000"/>
          <w:lang w:val="en-US" w:eastAsia="zh-CN"/>
        </w:rPr>
        <w:t xml:space="preserve">  </w:t>
      </w:r>
      <w:r>
        <w:rPr>
          <w:rFonts w:ascii="黑体" w:hAnsi="黑体" w:eastAsia="黑体" w:cs="黑体"/>
          <w:color w:val="auto"/>
          <w:spacing w:val="-2"/>
          <w:sz w:val="28"/>
          <w:szCs w:val="28"/>
          <w:highlight w:val="none"/>
        </w:rPr>
        <w:t>标段开标记录表</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pPr>
        <w:pStyle w:val="9"/>
        <w:keepNext w:val="0"/>
        <w:keepLines w:val="0"/>
        <w:pageBreakBefore w:val="0"/>
        <w:widowControl w:val="0"/>
        <w:tabs>
          <w:tab w:val="left" w:pos="6283"/>
          <w:tab w:val="left" w:pos="6915"/>
          <w:tab w:val="left" w:pos="7543"/>
          <w:tab w:val="left" w:pos="8175"/>
          <w:tab w:val="left" w:pos="8803"/>
        </w:tabs>
        <w:kinsoku/>
        <w:wordWrap/>
        <w:overflowPunct/>
        <w:topLinePunct w:val="0"/>
        <w:autoSpaceDE/>
        <w:autoSpaceDN/>
        <w:bidi w:val="0"/>
        <w:adjustRightInd w:val="0"/>
        <w:snapToGrid w:val="0"/>
        <w:spacing w:line="360" w:lineRule="auto"/>
        <w:ind w:left="0" w:right="0" w:firstLine="0" w:firstLineChars="0"/>
        <w:jc w:val="both"/>
        <w:textAlignment w:val="auto"/>
        <w:rPr>
          <w:color w:val="auto"/>
          <w:highlight w:val="none"/>
        </w:rPr>
      </w:pPr>
      <w:r>
        <w:rPr>
          <w:rFonts w:hint="eastAsia" w:ascii="宋体" w:hAnsi="宋体"/>
          <w:color w:val="auto"/>
          <w:kern w:val="0"/>
          <w:szCs w:val="21"/>
          <w:highlight w:val="none"/>
        </w:rPr>
        <w:t>开标时间：</w:t>
      </w:r>
      <w:r>
        <w:rPr>
          <w:rFonts w:hint="eastAsia" w:ascii="宋体" w:hAnsi="宋体"/>
          <w:color w:val="auto"/>
          <w:kern w:val="0"/>
          <w:szCs w:val="28"/>
          <w:highlight w:val="none"/>
        </w:rPr>
        <w:t>____</w:t>
      </w:r>
      <w:r>
        <w:rPr>
          <w:rFonts w:hint="eastAsia" w:ascii="宋体" w:hAnsi="宋体"/>
          <w:color w:val="auto"/>
          <w:kern w:val="0"/>
          <w:szCs w:val="21"/>
          <w:highlight w:val="none"/>
        </w:rPr>
        <w:t>年</w:t>
      </w:r>
      <w:r>
        <w:rPr>
          <w:rFonts w:hint="eastAsia" w:ascii="宋体" w:hAnsi="宋体"/>
          <w:color w:val="auto"/>
          <w:kern w:val="0"/>
          <w:szCs w:val="28"/>
          <w:highlight w:val="none"/>
        </w:rPr>
        <w:t>____</w:t>
      </w:r>
      <w:r>
        <w:rPr>
          <w:rFonts w:hint="eastAsia" w:ascii="宋体" w:hAnsi="宋体"/>
          <w:color w:val="auto"/>
          <w:kern w:val="0"/>
          <w:szCs w:val="21"/>
          <w:highlight w:val="none"/>
        </w:rPr>
        <w:t>月</w:t>
      </w:r>
      <w:r>
        <w:rPr>
          <w:rFonts w:hint="eastAsia" w:ascii="宋体" w:hAnsi="宋体"/>
          <w:color w:val="auto"/>
          <w:kern w:val="0"/>
          <w:szCs w:val="28"/>
          <w:highlight w:val="none"/>
        </w:rPr>
        <w:t>____</w:t>
      </w:r>
      <w:r>
        <w:rPr>
          <w:rFonts w:hint="eastAsia" w:ascii="宋体" w:hAnsi="宋体"/>
          <w:color w:val="auto"/>
          <w:kern w:val="0"/>
          <w:szCs w:val="21"/>
          <w:highlight w:val="none"/>
        </w:rPr>
        <w:t>日</w:t>
      </w:r>
      <w:r>
        <w:rPr>
          <w:rFonts w:hint="eastAsia" w:ascii="宋体" w:hAnsi="宋体"/>
          <w:color w:val="auto"/>
          <w:kern w:val="0"/>
          <w:szCs w:val="28"/>
          <w:highlight w:val="none"/>
        </w:rPr>
        <w:t>____</w:t>
      </w:r>
      <w:r>
        <w:rPr>
          <w:rFonts w:hint="eastAsia" w:ascii="宋体" w:hAnsi="宋体"/>
          <w:color w:val="auto"/>
          <w:kern w:val="0"/>
          <w:szCs w:val="21"/>
          <w:highlight w:val="none"/>
        </w:rPr>
        <w:t>时</w:t>
      </w:r>
      <w:r>
        <w:rPr>
          <w:rFonts w:hint="eastAsia" w:ascii="宋体" w:hAnsi="宋体"/>
          <w:color w:val="auto"/>
          <w:kern w:val="0"/>
          <w:szCs w:val="28"/>
          <w:highlight w:val="none"/>
        </w:rPr>
        <w:t>____</w:t>
      </w:r>
      <w:r>
        <w:rPr>
          <w:rFonts w:hint="eastAsia" w:ascii="宋体" w:hAnsi="宋体"/>
          <w:color w:val="auto"/>
          <w:kern w:val="0"/>
          <w:szCs w:val="21"/>
          <w:highlight w:val="none"/>
        </w:rPr>
        <w:t>分                    开标地点：</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
          <w:szCs w:val="3"/>
          <w:highlight w:val="none"/>
        </w:rPr>
      </w:pPr>
    </w:p>
    <w:tbl>
      <w:tblPr>
        <w:tblStyle w:val="19"/>
        <w:tblW w:w="0" w:type="auto"/>
        <w:tblInd w:w="108" w:type="dxa"/>
        <w:tblLayout w:type="fixed"/>
        <w:tblCellMar>
          <w:top w:w="0" w:type="dxa"/>
          <w:left w:w="0" w:type="dxa"/>
          <w:bottom w:w="0" w:type="dxa"/>
          <w:right w:w="0" w:type="dxa"/>
        </w:tblCellMar>
      </w:tblPr>
      <w:tblGrid>
        <w:gridCol w:w="563"/>
        <w:gridCol w:w="941"/>
        <w:gridCol w:w="1134"/>
        <w:gridCol w:w="1513"/>
        <w:gridCol w:w="1403"/>
        <w:gridCol w:w="1129"/>
        <w:gridCol w:w="817"/>
        <w:gridCol w:w="759"/>
        <w:gridCol w:w="757"/>
      </w:tblGrid>
      <w:tr>
        <w:tblPrEx>
          <w:tblCellMar>
            <w:top w:w="0" w:type="dxa"/>
            <w:left w:w="0" w:type="dxa"/>
            <w:bottom w:w="0" w:type="dxa"/>
            <w:right w:w="0" w:type="dxa"/>
          </w:tblCellMar>
        </w:tblPrEx>
        <w:trPr>
          <w:trHeight w:val="73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序</w:t>
            </w:r>
            <w:r>
              <w:rPr>
                <w:rFonts w:hint="eastAsia" w:asciiTheme="minorEastAsia" w:hAnsiTheme="minorEastAsia" w:eastAsiaTheme="minorEastAsia" w:cstheme="minorEastAsia"/>
                <w:b/>
                <w:bCs/>
                <w:color w:val="auto"/>
                <w:w w:val="99"/>
                <w:sz w:val="21"/>
                <w:szCs w:val="21"/>
                <w:highlight w:val="none"/>
              </w:rPr>
              <w:t xml:space="preserve"> </w:t>
            </w:r>
            <w:r>
              <w:rPr>
                <w:rFonts w:hint="eastAsia" w:asciiTheme="minorEastAsia" w:hAnsiTheme="minorEastAsia" w:eastAsiaTheme="minorEastAsia" w:cstheme="minorEastAsia"/>
                <w:b/>
                <w:bCs/>
                <w:color w:val="auto"/>
                <w:sz w:val="21"/>
                <w:szCs w:val="21"/>
                <w:highlight w:val="none"/>
              </w:rPr>
              <w:t>号</w:t>
            </w:r>
          </w:p>
        </w:tc>
        <w:tc>
          <w:tcPr>
            <w:tcW w:w="941"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投标人</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密封情况</w:t>
            </w:r>
          </w:p>
        </w:tc>
        <w:tc>
          <w:tcPr>
            <w:tcW w:w="1513"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投标保证金</w:t>
            </w:r>
          </w:p>
        </w:tc>
        <w:tc>
          <w:tcPr>
            <w:tcW w:w="1403"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投标报价</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（元）</w:t>
            </w:r>
          </w:p>
        </w:tc>
        <w:tc>
          <w:tcPr>
            <w:tcW w:w="112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质量目标</w:t>
            </w: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工期</w:t>
            </w:r>
          </w:p>
        </w:tc>
        <w:tc>
          <w:tcPr>
            <w:tcW w:w="75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备注</w:t>
            </w:r>
          </w:p>
        </w:tc>
        <w:tc>
          <w:tcPr>
            <w:tcW w:w="757"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签名</w:t>
            </w: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5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4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11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81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c>
          <w:tcPr>
            <w:tcW w:w="75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r>
        <w:tblPrEx>
          <w:tblCellMar>
            <w:top w:w="0" w:type="dxa"/>
            <w:left w:w="0" w:type="dxa"/>
            <w:bottom w:w="0" w:type="dxa"/>
            <w:right w:w="0" w:type="dxa"/>
          </w:tblCellMar>
        </w:tblPrEx>
        <w:trPr>
          <w:trHeight w:val="510" w:hRule="exact"/>
        </w:trPr>
        <w:tc>
          <w:tcPr>
            <w:tcW w:w="2638" w:type="dxa"/>
            <w:gridSpan w:val="3"/>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最高投标限价</w:t>
            </w:r>
          </w:p>
        </w:tc>
        <w:tc>
          <w:tcPr>
            <w:tcW w:w="6378"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default" w:asciiTheme="minorEastAsia" w:hAnsiTheme="minorEastAsia" w:eastAsiaTheme="minorEastAsia" w:cstheme="minorEastAsia"/>
          <w:color w:val="auto"/>
          <w:kern w:val="0"/>
          <w:sz w:val="21"/>
          <w:szCs w:val="21"/>
          <w:highlight w:val="none"/>
          <w:u w:val="single"/>
          <w:lang w:val="en-US" w:eastAsia="zh-CN"/>
        </w:rPr>
      </w:pPr>
      <w:r>
        <w:rPr>
          <w:rFonts w:hint="eastAsia" w:asciiTheme="minorEastAsia" w:hAnsiTheme="minorEastAsia" w:eastAsiaTheme="minorEastAsia" w:cstheme="minorEastAsia"/>
          <w:color w:val="auto"/>
          <w:kern w:val="0"/>
          <w:sz w:val="21"/>
          <w:szCs w:val="21"/>
          <w:highlight w:val="none"/>
        </w:rPr>
        <w:t>招标人代表：</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纪律监察：</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行政监管：</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kern w:val="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default" w:asciiTheme="minorEastAsia" w:hAnsiTheme="minorEastAsia" w:eastAsiaTheme="minorEastAsia" w:cstheme="minorEastAsia"/>
          <w:color w:val="auto"/>
          <w:kern w:val="0"/>
          <w:sz w:val="21"/>
          <w:szCs w:val="21"/>
          <w:highlight w:val="none"/>
          <w:u w:val="single"/>
          <w:lang w:val="en-US" w:eastAsia="zh-CN"/>
        </w:rPr>
      </w:pPr>
      <w:r>
        <w:rPr>
          <w:rFonts w:hint="eastAsia" w:asciiTheme="minorEastAsia" w:hAnsiTheme="minorEastAsia" w:eastAsiaTheme="minorEastAsia" w:cstheme="minorEastAsia"/>
          <w:color w:val="auto"/>
          <w:kern w:val="0"/>
          <w:sz w:val="21"/>
          <w:szCs w:val="21"/>
          <w:highlight w:val="none"/>
        </w:rPr>
        <w:t>招标代理：</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r>
        <w:rPr>
          <w:rFonts w:hint="eastAsia" w:asciiTheme="minorEastAsia" w:hAnsiTheme="minorEastAsia" w:eastAsiaTheme="minorEastAsia" w:cstheme="minorEastAsia"/>
          <w:color w:val="auto"/>
          <w:kern w:val="0"/>
          <w:sz w:val="21"/>
          <w:szCs w:val="21"/>
          <w:highlight w:val="none"/>
        </w:rPr>
        <w:t>交易中心</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z w:val="21"/>
          <w:szCs w:val="21"/>
          <w:highlight w:val="none"/>
        </w:rPr>
      </w:pPr>
    </w:p>
    <w:p>
      <w:pPr>
        <w:pStyle w:val="9"/>
        <w:keepNext w:val="0"/>
        <w:keepLines w:val="0"/>
        <w:pageBreakBefore w:val="0"/>
        <w:widowControl w:val="0"/>
        <w:tabs>
          <w:tab w:val="left" w:pos="6211"/>
          <w:tab w:val="left" w:pos="7263"/>
          <w:tab w:val="left" w:pos="8311"/>
        </w:tabs>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2"/>
          <w:w w:val="95"/>
          <w:sz w:val="21"/>
          <w:szCs w:val="21"/>
          <w:highlight w:val="none"/>
        </w:rPr>
        <w:t>年</w:t>
      </w:r>
      <w:r>
        <w:rPr>
          <w:rFonts w:hint="eastAsia" w:asciiTheme="minorEastAsia" w:hAnsiTheme="minorEastAsia" w:eastAsiaTheme="minorEastAsia" w:cstheme="minorEastAsia"/>
          <w:color w:val="auto"/>
          <w:spacing w:val="2"/>
          <w:w w:val="95"/>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w w:val="95"/>
          <w:sz w:val="21"/>
          <w:szCs w:val="21"/>
          <w:highlight w:val="none"/>
        </w:rPr>
        <w:t>月</w:t>
      </w:r>
      <w:r>
        <w:rPr>
          <w:rFonts w:hint="eastAsia" w:asciiTheme="minorEastAsia" w:hAnsiTheme="minorEastAsia" w:eastAsiaTheme="minorEastAsia" w:cstheme="minorEastAsia"/>
          <w:color w:val="auto"/>
          <w:spacing w:val="-1"/>
          <w:w w:val="95"/>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日</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right"/>
        <w:textAlignment w:val="auto"/>
        <w:rPr>
          <w:rFonts w:hint="eastAsia" w:asciiTheme="minorEastAsia" w:hAnsiTheme="minorEastAsia" w:eastAsiaTheme="minorEastAsia" w:cstheme="minorEastAsia"/>
          <w:color w:val="auto"/>
          <w:sz w:val="21"/>
          <w:szCs w:val="21"/>
          <w:highlight w:val="none"/>
        </w:rPr>
        <w:sectPr>
          <w:pgSz w:w="11910" w:h="16840"/>
          <w:pgMar w:top="1580" w:right="1300" w:bottom="1360" w:left="1360" w:header="0" w:footer="1177"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w:t>
      </w:r>
      <w:r>
        <w:rPr>
          <w:rFonts w:ascii="黑体" w:hAnsi="黑体" w:eastAsia="黑体" w:cs="黑体"/>
          <w:b/>
          <w:bCs/>
          <w:color w:val="auto"/>
          <w:spacing w:val="-87"/>
          <w:sz w:val="32"/>
          <w:szCs w:val="32"/>
          <w:highlight w:val="none"/>
        </w:rPr>
        <w:t xml:space="preserve"> </w:t>
      </w:r>
      <w:r>
        <w:rPr>
          <w:rFonts w:ascii="黑体" w:hAnsi="黑体" w:eastAsia="黑体" w:cs="黑体"/>
          <w:b/>
          <w:bCs/>
          <w:color w:val="auto"/>
          <w:sz w:val="32"/>
          <w:szCs w:val="32"/>
          <w:highlight w:val="none"/>
        </w:rPr>
        <w:t>3：问题澄清通知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pPr>
        <w:keepNext w:val="0"/>
        <w:keepLines w:val="0"/>
        <w:pageBreakBefore w:val="0"/>
        <w:widowControl w:val="0"/>
        <w:tabs>
          <w:tab w:val="left" w:pos="5547"/>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问题澄清通知</w:t>
      </w:r>
    </w:p>
    <w:p>
      <w:pPr>
        <w:keepNext w:val="0"/>
        <w:keepLines w:val="0"/>
        <w:pageBreakBefore w:val="0"/>
        <w:widowControl w:val="0"/>
        <w:tabs>
          <w:tab w:val="left" w:pos="5547"/>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Times New Roman" w:hAnsi="Times New Roman" w:eastAsia="黑体" w:cs="Times New Roman"/>
          <w:color w:val="auto"/>
          <w:sz w:val="28"/>
          <w:szCs w:val="28"/>
          <w:highlight w:val="none"/>
          <w:u w:val="single"/>
          <w:lang w:val="en-US" w:eastAsia="zh-CN"/>
        </w:rPr>
      </w:pPr>
      <w:r>
        <w:rPr>
          <w:rFonts w:ascii="黑体" w:hAnsi="黑体" w:eastAsia="黑体" w:cs="黑体"/>
          <w:color w:val="auto"/>
          <w:sz w:val="28"/>
          <w:szCs w:val="28"/>
          <w:highlight w:val="none"/>
        </w:rPr>
        <w:t>编号：</w:t>
      </w:r>
      <w:r>
        <w:rPr>
          <w:rFonts w:hint="eastAsia" w:ascii="黑体" w:hAnsi="黑体" w:eastAsia="黑体" w:cs="黑体"/>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1577"/>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（投标人名称）：</w:t>
      </w:r>
    </w:p>
    <w:p>
      <w:pPr>
        <w:pStyle w:val="9"/>
        <w:keepNext w:val="0"/>
        <w:keepLines w:val="0"/>
        <w:pageBreakBefore w:val="0"/>
        <w:widowControl w:val="0"/>
        <w:tabs>
          <w:tab w:val="left" w:pos="2363"/>
          <w:tab w:val="left" w:pos="4495"/>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（项目名称）</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标段施工招标的评标委员会，对你方的投标文件 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2888"/>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pPr>
        <w:pStyle w:val="9"/>
        <w:keepNext w:val="0"/>
        <w:keepLines w:val="0"/>
        <w:pageBreakBefore w:val="0"/>
        <w:widowControl w:val="0"/>
        <w:tabs>
          <w:tab w:val="left" w:pos="2888"/>
        </w:tabs>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w:t>
      </w:r>
    </w:p>
    <w:p>
      <w:pPr>
        <w:pStyle w:val="9"/>
        <w:keepNext w:val="0"/>
        <w:keepLines w:val="0"/>
        <w:pageBreakBefore w:val="0"/>
        <w:widowControl w:val="0"/>
        <w:tabs>
          <w:tab w:val="left" w:pos="1671"/>
          <w:tab w:val="left" w:pos="7416"/>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请将上述问题的澄清于</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时前递交至</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（详细地址）或 传真至</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（传真号码）。采用传真方式的，应在</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时前将原件递交至</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（详细地址）。</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7983"/>
        </w:tabs>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招标人（或招标代理机构）：</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（盖单位章）</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5619"/>
          <w:tab w:val="left" w:pos="6828"/>
          <w:tab w:val="left" w:pos="7983"/>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rFonts w:hint="eastAsia" w:asciiTheme="minorEastAsia" w:hAnsiTheme="minorEastAsia" w:eastAsiaTheme="minorEastAsia" w:cstheme="minorEastAsia"/>
          <w:color w:val="auto"/>
          <w:spacing w:val="0"/>
          <w:w w:val="100"/>
          <w:sz w:val="21"/>
          <w:szCs w:val="21"/>
          <w:highlight w:val="none"/>
        </w:rPr>
        <w:sectPr>
          <w:footerReference r:id="rId8" w:type="default"/>
          <w:pgSz w:w="11910" w:h="16840"/>
          <w:pgMar w:top="1580" w:right="1420" w:bottom="1340" w:left="1480" w:header="0" w:footer="1157"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w:t>
      </w:r>
      <w:r>
        <w:rPr>
          <w:rFonts w:ascii="黑体" w:hAnsi="黑体" w:eastAsia="黑体" w:cs="黑体"/>
          <w:b/>
          <w:bCs/>
          <w:color w:val="auto"/>
          <w:spacing w:val="-86"/>
          <w:sz w:val="32"/>
          <w:szCs w:val="32"/>
          <w:highlight w:val="none"/>
        </w:rPr>
        <w:t xml:space="preserve"> </w:t>
      </w:r>
      <w:r>
        <w:rPr>
          <w:rFonts w:ascii="黑体" w:hAnsi="黑体" w:eastAsia="黑体" w:cs="黑体"/>
          <w:b/>
          <w:bCs/>
          <w:color w:val="auto"/>
          <w:sz w:val="32"/>
          <w:szCs w:val="32"/>
          <w:highlight w:val="none"/>
        </w:rPr>
        <w:t>4：问题的澄清</w:t>
      </w:r>
    </w:p>
    <w:p>
      <w:pPr>
        <w:keepNext w:val="0"/>
        <w:keepLines w:val="0"/>
        <w:pageBreakBefore w:val="0"/>
        <w:widowControl w:val="0"/>
        <w:tabs>
          <w:tab w:val="left" w:pos="5375"/>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p>
    <w:p>
      <w:pPr>
        <w:keepNext w:val="0"/>
        <w:keepLines w:val="0"/>
        <w:pageBreakBefore w:val="0"/>
        <w:widowControl w:val="0"/>
        <w:tabs>
          <w:tab w:val="left" w:pos="5375"/>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问题的澄清</w:t>
      </w:r>
    </w:p>
    <w:p>
      <w:pPr>
        <w:keepNext w:val="0"/>
        <w:keepLines w:val="0"/>
        <w:pageBreakBefore w:val="0"/>
        <w:widowControl w:val="0"/>
        <w:tabs>
          <w:tab w:val="left" w:pos="5375"/>
        </w:tabs>
        <w:kinsoku/>
        <w:wordWrap/>
        <w:overflowPunct/>
        <w:topLinePunct w:val="0"/>
        <w:autoSpaceDE/>
        <w:autoSpaceDN/>
        <w:bidi w:val="0"/>
        <w:adjustRightInd w:val="0"/>
        <w:snapToGrid w:val="0"/>
        <w:spacing w:line="360" w:lineRule="auto"/>
        <w:ind w:left="0" w:right="0" w:firstLine="0" w:firstLineChars="0"/>
        <w:jc w:val="both"/>
        <w:textAlignment w:val="auto"/>
        <w:rPr>
          <w:rFonts w:hint="default" w:ascii="Times New Roman" w:hAnsi="Times New Roman" w:eastAsia="黑体" w:cs="Times New Roman"/>
          <w:color w:val="auto"/>
          <w:sz w:val="28"/>
          <w:szCs w:val="28"/>
          <w:highlight w:val="none"/>
          <w:u w:val="single"/>
          <w:lang w:val="en-US" w:eastAsia="zh-CN"/>
        </w:rPr>
      </w:pPr>
      <w:r>
        <w:rPr>
          <w:rFonts w:ascii="黑体" w:hAnsi="黑体" w:eastAsia="黑体" w:cs="黑体"/>
          <w:color w:val="auto"/>
          <w:sz w:val="28"/>
          <w:szCs w:val="28"/>
          <w:highlight w:val="none"/>
        </w:rPr>
        <w:t>编号：</w:t>
      </w:r>
      <w:r>
        <w:rPr>
          <w:rFonts w:hint="eastAsia" w:ascii="黑体" w:hAnsi="黑体" w:eastAsia="黑体" w:cs="黑体"/>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w w:val="100"/>
          <w:sz w:val="20"/>
          <w:szCs w:val="20"/>
          <w:highlight w:val="none"/>
        </w:rPr>
      </w:pPr>
    </w:p>
    <w:p>
      <w:pPr>
        <w:pStyle w:val="9"/>
        <w:keepNext w:val="0"/>
        <w:keepLines w:val="0"/>
        <w:pageBreakBefore w:val="0"/>
        <w:widowControl w:val="0"/>
        <w:tabs>
          <w:tab w:val="left" w:pos="1997"/>
          <w:tab w:val="left" w:pos="4203"/>
        </w:tabs>
        <w:kinsoku/>
        <w:wordWrap/>
        <w:overflowPunct/>
        <w:topLinePunct w:val="0"/>
        <w:autoSpaceDE/>
        <w:autoSpaceDN/>
        <w:bidi w:val="0"/>
        <w:adjustRightInd w:val="0"/>
        <w:snapToGrid w:val="0"/>
        <w:spacing w:line="360" w:lineRule="auto"/>
        <w:ind w:left="0" w:right="0" w:firstLine="0" w:firstLineChars="0"/>
        <w:jc w:val="left"/>
        <w:textAlignment w:val="auto"/>
        <w:rPr>
          <w:color w:val="auto"/>
          <w:w w:val="100"/>
          <w:highlight w:val="none"/>
        </w:rPr>
      </w:pPr>
      <w:r>
        <w:rPr>
          <w:rFonts w:ascii="Times New Roman" w:hAnsi="Times New Roman" w:eastAsia="Times New Roman" w:cs="Times New Roman"/>
          <w:color w:val="auto"/>
          <w:w w:val="100"/>
          <w:highlight w:val="none"/>
          <w:u w:val="single" w:color="000000"/>
        </w:rPr>
        <w:t xml:space="preserve"> </w:t>
      </w:r>
      <w:r>
        <w:rPr>
          <w:rFonts w:ascii="Times New Roman" w:hAnsi="Times New Roman" w:eastAsia="Times New Roman" w:cs="Times New Roman"/>
          <w:color w:val="auto"/>
          <w:w w:val="100"/>
          <w:highlight w:val="none"/>
          <w:u w:val="single" w:color="000000"/>
        </w:rPr>
        <w:tab/>
      </w:r>
      <w:r>
        <w:rPr>
          <w:rFonts w:hint="eastAsia" w:ascii="Times New Roman" w:hAnsi="Times New Roman" w:cs="Times New Roman"/>
          <w:color w:val="auto"/>
          <w:w w:val="100"/>
          <w:highlight w:val="none"/>
          <w:u w:val="single" w:color="000000"/>
          <w:lang w:val="en-US" w:eastAsia="zh-CN"/>
        </w:rPr>
        <w:t xml:space="preserve">     </w:t>
      </w:r>
      <w:r>
        <w:rPr>
          <w:color w:val="auto"/>
          <w:w w:val="100"/>
          <w:highlight w:val="none"/>
          <w:u w:val="none" w:color="auto"/>
        </w:rPr>
        <w:t>（</w:t>
      </w:r>
      <w:r>
        <w:rPr>
          <w:color w:val="auto"/>
          <w:w w:val="100"/>
          <w:highlight w:val="none"/>
        </w:rPr>
        <w:t>项目名称）</w:t>
      </w:r>
      <w:r>
        <w:rPr>
          <w:rFonts w:ascii="Times New Roman" w:hAnsi="Times New Roman" w:eastAsia="Times New Roman" w:cs="Times New Roman"/>
          <w:color w:val="auto"/>
          <w:w w:val="100"/>
          <w:highlight w:val="none"/>
          <w:u w:val="single" w:color="000000"/>
        </w:rPr>
        <w:tab/>
      </w:r>
      <w:r>
        <w:rPr>
          <w:color w:val="auto"/>
          <w:w w:val="100"/>
          <w:highlight w:val="none"/>
        </w:rPr>
        <w:t>标段施工招标评标委员会：</w:t>
      </w:r>
    </w:p>
    <w:p>
      <w:pPr>
        <w:pStyle w:val="9"/>
        <w:keepNext w:val="0"/>
        <w:keepLines w:val="0"/>
        <w:pageBreakBefore w:val="0"/>
        <w:widowControl w:val="0"/>
        <w:tabs>
          <w:tab w:val="left" w:pos="2888"/>
          <w:tab w:val="left" w:pos="3468"/>
        </w:tabs>
        <w:kinsoku/>
        <w:wordWrap/>
        <w:overflowPunct/>
        <w:topLinePunct w:val="0"/>
        <w:autoSpaceDE/>
        <w:autoSpaceDN/>
        <w:bidi w:val="0"/>
        <w:adjustRightInd w:val="0"/>
        <w:snapToGrid w:val="0"/>
        <w:spacing w:line="360" w:lineRule="auto"/>
        <w:ind w:left="0" w:right="0" w:firstLine="0" w:firstLineChars="0"/>
        <w:jc w:val="both"/>
        <w:textAlignment w:val="auto"/>
        <w:rPr>
          <w:color w:val="auto"/>
          <w:w w:val="100"/>
          <w:highlight w:val="none"/>
        </w:rPr>
      </w:pPr>
      <w:r>
        <w:rPr>
          <w:color w:val="auto"/>
          <w:w w:val="100"/>
          <w:highlight w:val="none"/>
        </w:rPr>
        <w:t>问题澄清通知（编号：</w:t>
      </w:r>
      <w:r>
        <w:rPr>
          <w:rFonts w:ascii="Times New Roman" w:hAnsi="Times New Roman" w:eastAsia="Times New Roman" w:cs="Times New Roman"/>
          <w:color w:val="auto"/>
          <w:w w:val="100"/>
          <w:highlight w:val="none"/>
          <w:u w:val="single" w:color="000000"/>
        </w:rPr>
        <w:tab/>
      </w:r>
      <w:r>
        <w:rPr>
          <w:rFonts w:ascii="Times New Roman" w:hAnsi="Times New Roman" w:eastAsia="Times New Roman" w:cs="Times New Roman"/>
          <w:color w:val="auto"/>
          <w:w w:val="100"/>
          <w:highlight w:val="none"/>
          <w:u w:val="single" w:color="000000"/>
        </w:rPr>
        <w:tab/>
      </w:r>
      <w:r>
        <w:rPr>
          <w:color w:val="auto"/>
          <w:w w:val="100"/>
          <w:highlight w:val="none"/>
        </w:rPr>
        <w:t>）已收悉，现澄清如下：</w:t>
      </w:r>
    </w:p>
    <w:p>
      <w:pPr>
        <w:pStyle w:val="9"/>
        <w:keepNext w:val="0"/>
        <w:keepLines w:val="0"/>
        <w:pageBreakBefore w:val="0"/>
        <w:widowControl w:val="0"/>
        <w:tabs>
          <w:tab w:val="left" w:pos="2888"/>
          <w:tab w:val="left" w:pos="3468"/>
        </w:tabs>
        <w:kinsoku/>
        <w:wordWrap/>
        <w:overflowPunct/>
        <w:topLinePunct w:val="0"/>
        <w:autoSpaceDE/>
        <w:autoSpaceDN/>
        <w:bidi w:val="0"/>
        <w:adjustRightInd w:val="0"/>
        <w:snapToGrid w:val="0"/>
        <w:spacing w:line="360" w:lineRule="auto"/>
        <w:ind w:left="0" w:right="0" w:firstLine="0" w:firstLineChars="0"/>
        <w:jc w:val="both"/>
        <w:textAlignment w:val="auto"/>
        <w:rPr>
          <w:rFonts w:ascii="Times New Roman" w:hAnsi="Times New Roman" w:eastAsia="Times New Roman" w:cs="Times New Roman"/>
          <w:color w:val="auto"/>
          <w:w w:val="100"/>
          <w:highlight w:val="none"/>
        </w:rPr>
      </w:pPr>
      <w:r>
        <w:rPr>
          <w:color w:val="auto"/>
          <w:w w:val="100"/>
          <w:highlight w:val="none"/>
        </w:rPr>
        <w:t>1.</w:t>
      </w:r>
      <w:r>
        <w:rPr>
          <w:rFonts w:ascii="Times New Roman" w:hAnsi="Times New Roman" w:eastAsia="Times New Roman" w:cs="Times New Roman"/>
          <w:color w:val="auto"/>
          <w:w w:val="100"/>
          <w:highlight w:val="none"/>
          <w:u w:val="single" w:color="000000"/>
        </w:rPr>
        <w:t xml:space="preserve"> </w:t>
      </w:r>
      <w:r>
        <w:rPr>
          <w:rFonts w:ascii="Times New Roman" w:hAnsi="Times New Roman" w:eastAsia="Times New Roman" w:cs="Times New Roman"/>
          <w:color w:val="auto"/>
          <w:w w:val="100"/>
          <w:highlight w:val="none"/>
          <w:u w:val="single" w:color="000000"/>
        </w:rPr>
        <w:tab/>
      </w:r>
    </w:p>
    <w:p>
      <w:pPr>
        <w:pStyle w:val="9"/>
        <w:keepNext w:val="0"/>
        <w:keepLines w:val="0"/>
        <w:pageBreakBefore w:val="0"/>
        <w:widowControl w:val="0"/>
        <w:tabs>
          <w:tab w:val="left" w:pos="2888"/>
        </w:tabs>
        <w:kinsoku/>
        <w:wordWrap/>
        <w:overflowPunct/>
        <w:topLinePunct w:val="0"/>
        <w:autoSpaceDE/>
        <w:autoSpaceDN/>
        <w:bidi w:val="0"/>
        <w:adjustRightInd w:val="0"/>
        <w:snapToGrid w:val="0"/>
        <w:spacing w:line="360" w:lineRule="auto"/>
        <w:ind w:left="0" w:right="0" w:firstLine="0" w:firstLineChars="0"/>
        <w:jc w:val="both"/>
        <w:textAlignment w:val="auto"/>
        <w:rPr>
          <w:rFonts w:ascii="Times New Roman" w:hAnsi="Times New Roman" w:eastAsia="Times New Roman" w:cs="Times New Roman"/>
          <w:color w:val="auto"/>
          <w:w w:val="100"/>
          <w:highlight w:val="none"/>
        </w:rPr>
      </w:pPr>
      <w:r>
        <w:rPr>
          <w:color w:val="auto"/>
          <w:w w:val="100"/>
          <w:highlight w:val="none"/>
        </w:rPr>
        <w:t>2.</w:t>
      </w:r>
      <w:r>
        <w:rPr>
          <w:rFonts w:ascii="Times New Roman"/>
          <w:color w:val="auto"/>
          <w:w w:val="100"/>
          <w:highlight w:val="none"/>
          <w:u w:val="single" w:color="000000"/>
        </w:rPr>
        <w:t xml:space="preserve"> </w:t>
      </w:r>
      <w:r>
        <w:rPr>
          <w:rFonts w:ascii="Times New Roman"/>
          <w:color w:val="auto"/>
          <w:w w:val="100"/>
          <w:highlight w:val="none"/>
          <w:u w:val="single" w:color="000000"/>
        </w:rPr>
        <w:tab/>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color w:val="auto"/>
          <w:highlight w:val="none"/>
        </w:rPr>
      </w:pPr>
      <w:r>
        <w:rPr>
          <w:color w:val="auto"/>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pPr>
        <w:pStyle w:val="9"/>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color w:val="auto"/>
          <w:highlight w:val="none"/>
        </w:rPr>
      </w:pPr>
      <w:r>
        <w:rPr>
          <w:color w:val="auto"/>
          <w:w w:val="95"/>
          <w:highlight w:val="none"/>
        </w:rPr>
        <w:t>投标人：</w:t>
      </w:r>
      <w:r>
        <w:rPr>
          <w:rFonts w:hint="eastAsia"/>
          <w:color w:val="auto"/>
          <w:w w:val="95"/>
          <w:highlight w:val="none"/>
          <w:u w:val="single"/>
          <w:lang w:val="en-US" w:eastAsia="zh-CN"/>
        </w:rPr>
        <w:t xml:space="preserve">                  </w:t>
      </w:r>
      <w:r>
        <w:rPr>
          <w:color w:val="auto"/>
          <w:highlight w:val="none"/>
        </w:rPr>
        <w:t>（盖单位章）</w:t>
      </w:r>
    </w:p>
    <w:p>
      <w:pPr>
        <w:pStyle w:val="9"/>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color w:val="auto"/>
          <w:w w:val="95"/>
          <w:highlight w:val="none"/>
        </w:rPr>
      </w:pPr>
    </w:p>
    <w:p>
      <w:pPr>
        <w:pStyle w:val="9"/>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color w:val="auto"/>
          <w:highlight w:val="none"/>
        </w:rPr>
      </w:pPr>
      <w:r>
        <w:rPr>
          <w:color w:val="auto"/>
          <w:w w:val="95"/>
          <w:highlight w:val="none"/>
        </w:rPr>
        <w:t>法定代表人或其委托代理人：</w:t>
      </w:r>
      <w:r>
        <w:rPr>
          <w:rFonts w:hint="eastAsia"/>
          <w:color w:val="auto"/>
          <w:w w:val="95"/>
          <w:highlight w:val="none"/>
          <w:u w:val="single"/>
          <w:lang w:val="en-US" w:eastAsia="zh-CN"/>
        </w:rPr>
        <w:t xml:space="preserve">                     </w:t>
      </w:r>
      <w:r>
        <w:rPr>
          <w:color w:val="auto"/>
          <w:highlight w:val="none"/>
        </w:rPr>
        <w:t>（签字）</w:t>
      </w:r>
    </w:p>
    <w:p>
      <w:pPr>
        <w:pStyle w:val="9"/>
        <w:keepNext w:val="0"/>
        <w:keepLines w:val="0"/>
        <w:pageBreakBefore w:val="0"/>
        <w:widowControl w:val="0"/>
        <w:tabs>
          <w:tab w:val="left" w:pos="5883"/>
          <w:tab w:val="left" w:pos="6931"/>
          <w:tab w:val="left" w:pos="7983"/>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eastAsia" w:ascii="Times New Roman" w:hAnsi="Times New Roman" w:cs="Times New Roman"/>
          <w:color w:val="auto"/>
          <w:w w:val="99"/>
          <w:highlight w:val="none"/>
          <w:u w:val="single" w:color="auto"/>
          <w:lang w:val="en-US" w:eastAsia="zh-CN"/>
        </w:rPr>
      </w:pPr>
    </w:p>
    <w:p>
      <w:pPr>
        <w:pStyle w:val="9"/>
        <w:keepNext w:val="0"/>
        <w:keepLines w:val="0"/>
        <w:pageBreakBefore w:val="0"/>
        <w:widowControl w:val="0"/>
        <w:tabs>
          <w:tab w:val="left" w:pos="5883"/>
          <w:tab w:val="left" w:pos="6931"/>
          <w:tab w:val="left" w:pos="7983"/>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eastAsia="宋体"/>
          <w:color w:val="auto"/>
          <w:highlight w:val="none"/>
          <w:lang w:val="en-US" w:eastAsia="zh-CN"/>
        </w:rPr>
      </w:pPr>
      <w:r>
        <w:rPr>
          <w:rFonts w:hint="eastAsia" w:ascii="Times New Roman" w:hAnsi="Times New Roman" w:cs="Times New Roman"/>
          <w:color w:val="auto"/>
          <w:w w:val="99"/>
          <w:highlight w:val="none"/>
          <w:u w:val="single" w:color="auto"/>
          <w:lang w:val="en-US" w:eastAsia="zh-CN"/>
        </w:rPr>
        <w:t xml:space="preserve">              </w:t>
      </w:r>
      <w:r>
        <w:rPr>
          <w:rFonts w:ascii="Times New Roman" w:hAnsi="Times New Roman" w:eastAsia="Times New Roman" w:cs="Times New Roman"/>
          <w:color w:val="auto"/>
          <w:w w:val="99"/>
          <w:highlight w:val="none"/>
          <w:u w:val="single" w:color="000000"/>
        </w:rPr>
        <w:t xml:space="preserve"> </w:t>
      </w:r>
      <w:r>
        <w:rPr>
          <w:color w:val="auto"/>
          <w:spacing w:val="-1"/>
          <w:w w:val="95"/>
          <w:highlight w:val="none"/>
        </w:rPr>
        <w:t>年</w:t>
      </w:r>
      <w:r>
        <w:rPr>
          <w:rFonts w:hint="eastAsia"/>
          <w:color w:val="auto"/>
          <w:spacing w:val="-1"/>
          <w:w w:val="95"/>
          <w:highlight w:val="none"/>
          <w:u w:val="single"/>
          <w:lang w:val="en-US" w:eastAsia="zh-CN"/>
        </w:rPr>
        <w:t xml:space="preserve">       </w:t>
      </w:r>
      <w:r>
        <w:rPr>
          <w:color w:val="auto"/>
          <w:spacing w:val="2"/>
          <w:w w:val="95"/>
          <w:highlight w:val="none"/>
        </w:rPr>
        <w:t>月</w:t>
      </w:r>
      <w:r>
        <w:rPr>
          <w:rFonts w:hint="eastAsia"/>
          <w:color w:val="auto"/>
          <w:spacing w:val="2"/>
          <w:w w:val="95"/>
          <w:highlight w:val="none"/>
          <w:u w:val="single"/>
          <w:lang w:val="en-US" w:eastAsia="zh-CN"/>
        </w:rPr>
        <w:t xml:space="preserve">     </w:t>
      </w:r>
      <w:r>
        <w:rPr>
          <w:color w:val="auto"/>
          <w:highlight w:val="none"/>
        </w:rPr>
        <w:t>日</w:t>
      </w: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rFonts w:hint="default" w:eastAsia="宋体"/>
          <w:color w:val="auto"/>
          <w:highlight w:val="none"/>
          <w:lang w:val="en-US" w:eastAsia="zh-CN"/>
        </w:rPr>
        <w:sectPr>
          <w:pgSz w:w="11910" w:h="16840"/>
          <w:pgMar w:top="1580" w:right="1380" w:bottom="1360" w:left="1480" w:header="0" w:footer="1157" w:gutter="0"/>
          <w:pgNumType w:fmt="decimal"/>
          <w:cols w:space="720" w:num="1"/>
        </w:sectPr>
      </w:pPr>
      <w:r>
        <w:rPr>
          <w:rFonts w:hint="eastAsia" w:eastAsia="宋体"/>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附件5：中标通知书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ascii="黑体" w:hAnsi="黑体" w:eastAsia="黑体" w:cs="黑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中标通知书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2103"/>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（中标人名称）：</w:t>
      </w:r>
    </w:p>
    <w:p>
      <w:pPr>
        <w:pStyle w:val="9"/>
        <w:keepNext w:val="0"/>
        <w:keepLines w:val="0"/>
        <w:pageBreakBefore w:val="0"/>
        <w:widowControl w:val="0"/>
        <w:tabs>
          <w:tab w:val="left" w:pos="2119"/>
          <w:tab w:val="left" w:pos="5191"/>
          <w:tab w:val="left" w:pos="7416"/>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你方于</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（投标日期）所递交的</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（项目名称）</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标段投标文件已被我方接受，被确定为中标人。</w:t>
      </w:r>
    </w:p>
    <w:p>
      <w:pPr>
        <w:pStyle w:val="9"/>
        <w:keepNext w:val="0"/>
        <w:keepLines w:val="0"/>
        <w:pageBreakBefore w:val="0"/>
        <w:widowControl w:val="0"/>
        <w:tabs>
          <w:tab w:val="left" w:pos="1788"/>
          <w:tab w:val="left" w:pos="3363"/>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中标价：</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元。</w:t>
      </w:r>
    </w:p>
    <w:p>
      <w:pPr>
        <w:pStyle w:val="9"/>
        <w:keepNext w:val="0"/>
        <w:keepLines w:val="0"/>
        <w:pageBreakBefore w:val="0"/>
        <w:widowControl w:val="0"/>
        <w:tabs>
          <w:tab w:val="left" w:pos="1788"/>
          <w:tab w:val="left" w:pos="3363"/>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工期：</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日历天。</w:t>
      </w:r>
    </w:p>
    <w:p>
      <w:pPr>
        <w:pStyle w:val="9"/>
        <w:keepNext w:val="0"/>
        <w:keepLines w:val="0"/>
        <w:pageBreakBefore w:val="0"/>
        <w:widowControl w:val="0"/>
        <w:tabs>
          <w:tab w:val="left" w:pos="3048"/>
          <w:tab w:val="left" w:pos="4308"/>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工程质量：符合</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标准。</w:t>
      </w:r>
    </w:p>
    <w:p>
      <w:pPr>
        <w:pStyle w:val="9"/>
        <w:keepNext w:val="0"/>
        <w:keepLines w:val="0"/>
        <w:pageBreakBefore w:val="0"/>
        <w:widowControl w:val="0"/>
        <w:tabs>
          <w:tab w:val="left" w:pos="3048"/>
          <w:tab w:val="left" w:pos="4308"/>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lang w:eastAsia="zh-CN"/>
        </w:rPr>
        <w:t>项目负责人</w:t>
      </w:r>
      <w:r>
        <w:rPr>
          <w:rFonts w:hint="eastAsia" w:asciiTheme="minorEastAsia" w:hAnsiTheme="minorEastAsia" w:eastAsiaTheme="minorEastAsia" w:cstheme="minorEastAsia"/>
          <w:color w:val="auto"/>
          <w:spacing w:val="0"/>
          <w:w w:val="100"/>
          <w:sz w:val="21"/>
          <w:szCs w:val="21"/>
          <w:highlight w:val="none"/>
        </w:rPr>
        <w:t>：</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（姓名）。</w:t>
      </w:r>
    </w:p>
    <w:p>
      <w:pPr>
        <w:pStyle w:val="9"/>
        <w:keepNext w:val="0"/>
        <w:keepLines w:val="0"/>
        <w:pageBreakBefore w:val="0"/>
        <w:widowControl w:val="0"/>
        <w:tabs>
          <w:tab w:val="left" w:pos="6929"/>
        </w:tabs>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请你方在接到本通知书后的</w:t>
      </w:r>
      <w:r>
        <w:rPr>
          <w:rFonts w:hint="eastAsia" w:asciiTheme="minorEastAsia" w:hAnsiTheme="minorEastAsia" w:eastAsiaTheme="minorEastAsia" w:cstheme="minorEastAsia"/>
          <w:color w:val="auto"/>
          <w:spacing w:val="0"/>
          <w:w w:val="100"/>
          <w:sz w:val="21"/>
          <w:szCs w:val="21"/>
          <w:highlight w:val="none"/>
          <w:u w:val="single"/>
        </w:rPr>
        <w:t xml:space="preserve">    </w:t>
      </w:r>
      <w:r>
        <w:rPr>
          <w:rFonts w:hint="eastAsia" w:asciiTheme="minorEastAsia" w:hAnsiTheme="minorEastAsia" w:eastAsiaTheme="minorEastAsia" w:cstheme="minorEastAsia"/>
          <w:color w:val="auto"/>
          <w:spacing w:val="0"/>
          <w:w w:val="100"/>
          <w:sz w:val="21"/>
          <w:szCs w:val="21"/>
          <w:highlight w:val="none"/>
        </w:rPr>
        <w:t>日内到</w:t>
      </w:r>
      <w:r>
        <w:rPr>
          <w:rFonts w:hint="eastAsia" w:asciiTheme="minorEastAsia" w:hAnsiTheme="minorEastAsia" w:eastAsiaTheme="minorEastAsia" w:cstheme="minorEastAsia"/>
          <w:color w:val="auto"/>
          <w:spacing w:val="0"/>
          <w:w w:val="100"/>
          <w:sz w:val="21"/>
          <w:szCs w:val="21"/>
          <w:highlight w:val="none"/>
          <w:u w:val="single" w:color="000000"/>
        </w:rPr>
        <w:tab/>
      </w:r>
      <w:r>
        <w:rPr>
          <w:rFonts w:hint="eastAsia" w:asciiTheme="minorEastAsia" w:hAnsiTheme="minorEastAsia" w:eastAsiaTheme="minorEastAsia" w:cstheme="minorEastAsia"/>
          <w:color w:val="auto"/>
          <w:spacing w:val="0"/>
          <w:w w:val="100"/>
          <w:sz w:val="21"/>
          <w:szCs w:val="21"/>
          <w:highlight w:val="none"/>
        </w:rPr>
        <w:t>（指定地点）与我方 签订施工承包合同，在此之前按招标文件第二章“投标人须知”第 7.3 款规定向我方提交履约担 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特此通知。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7740"/>
          <w:tab w:val="left" w:pos="8160"/>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rPr>
        <w:t>招标人</w:t>
      </w:r>
      <w:r>
        <w:rPr>
          <w:rFonts w:hint="eastAsia" w:asciiTheme="minorEastAsia" w:hAnsiTheme="minorEastAsia" w:eastAsiaTheme="minorEastAsia" w:cstheme="minorEastAsia"/>
          <w:color w:val="auto"/>
          <w:spacing w:val="0"/>
          <w:w w:val="100"/>
          <w:sz w:val="21"/>
          <w:szCs w:val="21"/>
          <w:highlight w:val="none"/>
          <w:u w:val="none" w:color="auto"/>
        </w:rPr>
        <w:t>：</w:t>
      </w:r>
      <w:r>
        <w:rPr>
          <w:rFonts w:hint="eastAsia" w:asciiTheme="minorEastAsia" w:hAnsiTheme="minorEastAsia" w:eastAsiaTheme="minorEastAsia" w:cstheme="minorEastAsia"/>
          <w:color w:val="auto"/>
          <w:spacing w:val="0"/>
          <w:w w:val="100"/>
          <w:sz w:val="21"/>
          <w:szCs w:val="21"/>
          <w:highlight w:val="none"/>
          <w:u w:val="single" w:color="auto"/>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none" w:color="auto"/>
        </w:rPr>
        <w:t>（</w:t>
      </w:r>
      <w:r>
        <w:rPr>
          <w:rFonts w:hint="eastAsia" w:asciiTheme="minorEastAsia" w:hAnsiTheme="minorEastAsia" w:eastAsiaTheme="minorEastAsia" w:cstheme="minorEastAsia"/>
          <w:color w:val="auto"/>
          <w:spacing w:val="0"/>
          <w:w w:val="100"/>
          <w:sz w:val="21"/>
          <w:szCs w:val="21"/>
          <w:highlight w:val="none"/>
        </w:rPr>
        <w:t xml:space="preserve">盖单位章） </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pPr>
        <w:pStyle w:val="9"/>
        <w:keepNext w:val="0"/>
        <w:keepLines w:val="0"/>
        <w:pageBreakBefore w:val="0"/>
        <w:widowControl w:val="0"/>
        <w:tabs>
          <w:tab w:val="left" w:pos="7740"/>
          <w:tab w:val="left" w:pos="8160"/>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7740"/>
          <w:tab w:val="left" w:pos="8160"/>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rPr>
        <w:t>法定代表人：</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（签字）</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rPr>
      </w:pPr>
    </w:p>
    <w:p>
      <w:pPr>
        <w:pStyle w:val="9"/>
        <w:keepNext w:val="0"/>
        <w:keepLines w:val="0"/>
        <w:pageBreakBefore w:val="0"/>
        <w:widowControl w:val="0"/>
        <w:tabs>
          <w:tab w:val="left" w:pos="6387"/>
          <w:tab w:val="left" w:pos="7332"/>
          <w:tab w:val="left" w:pos="8275"/>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asciiTheme="minorEastAsia" w:hAnsiTheme="minorEastAsia" w:eastAsiaTheme="minorEastAsia" w:cstheme="minorEastAsia"/>
          <w:color w:val="auto"/>
          <w:spacing w:val="0"/>
          <w:w w:val="100"/>
          <w:sz w:val="21"/>
          <w:szCs w:val="21"/>
          <w:highlight w:val="none"/>
          <w:lang w:val="en-US" w:eastAsia="zh-CN"/>
        </w:rPr>
      </w:pPr>
      <w:r>
        <w:rPr>
          <w:rFonts w:hint="eastAsia" w:asciiTheme="minorEastAsia" w:hAnsiTheme="minorEastAsia" w:eastAsiaTheme="minorEastAsia" w:cstheme="minorEastAsia"/>
          <w:color w:val="auto"/>
          <w:spacing w:val="0"/>
          <w:w w:val="100"/>
          <w:sz w:val="21"/>
          <w:szCs w:val="21"/>
          <w:highlight w:val="none"/>
          <w:u w:val="single" w:color="000000"/>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lang w:val="en-US" w:eastAsia="zh-CN"/>
        </w:rPr>
        <w:sectPr>
          <w:pgSz w:w="11910" w:h="16840"/>
          <w:pgMar w:top="1580" w:right="1320" w:bottom="1360" w:left="1480" w:header="0" w:footer="1157" w:gutter="0"/>
          <w:pgNumType w:fmt="decimal"/>
          <w:cols w:space="720" w:num="1"/>
        </w:sectPr>
      </w:pP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ascii="黑体" w:hAnsi="黑体" w:eastAsia="黑体" w:cs="黑体"/>
          <w:b/>
          <w:bCs/>
          <w:color w:val="auto"/>
          <w:sz w:val="32"/>
          <w:szCs w:val="32"/>
          <w:highlight w:val="none"/>
        </w:rPr>
      </w:pPr>
      <w:r>
        <w:rPr>
          <w:rFonts w:ascii="黑体" w:hAnsi="黑体" w:eastAsia="黑体" w:cs="黑体"/>
          <w:b/>
          <w:bCs/>
          <w:color w:val="auto"/>
          <w:sz w:val="32"/>
          <w:szCs w:val="32"/>
          <w:highlight w:val="none"/>
        </w:rPr>
        <w:t xml:space="preserve">附件 </w:t>
      </w:r>
      <w:r>
        <w:rPr>
          <w:rFonts w:hint="eastAsia" w:ascii="黑体" w:hAnsi="黑体" w:eastAsia="黑体" w:cs="黑体"/>
          <w:b/>
          <w:bCs/>
          <w:color w:val="auto"/>
          <w:sz w:val="32"/>
          <w:szCs w:val="32"/>
          <w:highlight w:val="none"/>
          <w:lang w:val="en-US" w:eastAsia="zh-CN"/>
        </w:rPr>
        <w:t>6</w:t>
      </w:r>
      <w:r>
        <w:rPr>
          <w:rFonts w:ascii="黑体" w:hAnsi="黑体" w:eastAsia="黑体" w:cs="黑体"/>
          <w:b/>
          <w:bCs/>
          <w:color w:val="auto"/>
          <w:sz w:val="32"/>
          <w:szCs w:val="32"/>
          <w:highlight w:val="none"/>
        </w:rPr>
        <w:t>：中标结果通知书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中标结果通知书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26"/>
          <w:szCs w:val="26"/>
          <w:highlight w:val="none"/>
        </w:rPr>
      </w:pPr>
    </w:p>
    <w:p>
      <w:pPr>
        <w:pStyle w:val="9"/>
        <w:keepNext w:val="0"/>
        <w:keepLines w:val="0"/>
        <w:pageBreakBefore w:val="0"/>
        <w:widowControl w:val="0"/>
        <w:tabs>
          <w:tab w:val="left" w:pos="1997"/>
        </w:tabs>
        <w:kinsoku/>
        <w:wordWrap/>
        <w:overflowPunct/>
        <w:topLinePunct w:val="0"/>
        <w:autoSpaceDE/>
        <w:autoSpaceDN/>
        <w:bidi w:val="0"/>
        <w:adjustRightInd w:val="0"/>
        <w:snapToGrid w:val="0"/>
        <w:spacing w:line="360" w:lineRule="auto"/>
        <w:ind w:left="0" w:right="0" w:firstLine="0" w:firstLineChars="0"/>
        <w:jc w:val="left"/>
        <w:textAlignment w:val="auto"/>
        <w:rPr>
          <w:color w:val="auto"/>
          <w:highlight w:val="none"/>
        </w:rPr>
      </w:pPr>
      <w:r>
        <w:rPr>
          <w:rFonts w:ascii="Times New Roman" w:hAnsi="Times New Roman" w:eastAsia="Times New Roman" w:cs="Times New Roman"/>
          <w:color w:val="auto"/>
          <w:w w:val="99"/>
          <w:highlight w:val="none"/>
          <w:u w:val="single" w:color="000000"/>
        </w:rPr>
        <w:t xml:space="preserve"> </w:t>
      </w:r>
      <w:r>
        <w:rPr>
          <w:rFonts w:ascii="Times New Roman" w:hAnsi="Times New Roman" w:eastAsia="Times New Roman" w:cs="Times New Roman"/>
          <w:color w:val="auto"/>
          <w:highlight w:val="none"/>
          <w:u w:val="single" w:color="000000"/>
        </w:rPr>
        <w:tab/>
      </w:r>
      <w:r>
        <w:rPr>
          <w:color w:val="auto"/>
          <w:spacing w:val="-12"/>
          <w:highlight w:val="none"/>
        </w:rPr>
        <w:t>（未中标人名称）：</w:t>
      </w:r>
    </w:p>
    <w:p>
      <w:pPr>
        <w:pStyle w:val="9"/>
        <w:keepNext w:val="0"/>
        <w:keepLines w:val="0"/>
        <w:pageBreakBefore w:val="0"/>
        <w:widowControl w:val="0"/>
        <w:tabs>
          <w:tab w:val="left" w:pos="1779"/>
          <w:tab w:val="left" w:pos="3548"/>
          <w:tab w:val="left" w:pos="4291"/>
          <w:tab w:val="left" w:pos="7205"/>
          <w:tab w:val="left" w:pos="7848"/>
        </w:tabs>
        <w:kinsoku/>
        <w:wordWrap/>
        <w:overflowPunct/>
        <w:topLinePunct w:val="0"/>
        <w:autoSpaceDE/>
        <w:autoSpaceDN/>
        <w:bidi w:val="0"/>
        <w:adjustRightInd w:val="0"/>
        <w:snapToGrid w:val="0"/>
        <w:spacing w:line="360" w:lineRule="auto"/>
        <w:ind w:left="0" w:right="0" w:firstLine="0" w:firstLineChars="0"/>
        <w:jc w:val="both"/>
        <w:textAlignment w:val="auto"/>
        <w:rPr>
          <w:color w:val="auto"/>
          <w:highlight w:val="none"/>
        </w:rPr>
      </w:pPr>
      <w:r>
        <w:rPr>
          <w:color w:val="auto"/>
          <w:highlight w:val="none"/>
        </w:rPr>
        <w:t>我方已接受</w:t>
      </w:r>
      <w:r>
        <w:rPr>
          <w:rFonts w:ascii="Times New Roman" w:hAnsi="Times New Roman" w:eastAsia="Times New Roman" w:cs="Times New Roman"/>
          <w:color w:val="auto"/>
          <w:highlight w:val="none"/>
          <w:u w:val="single" w:color="000000"/>
        </w:rPr>
        <w:tab/>
      </w:r>
      <w:r>
        <w:rPr>
          <w:rFonts w:ascii="Times New Roman" w:hAnsi="Times New Roman" w:eastAsia="Times New Roman" w:cs="Times New Roman"/>
          <w:color w:val="auto"/>
          <w:highlight w:val="none"/>
          <w:u w:val="single" w:color="000000"/>
        </w:rPr>
        <w:tab/>
      </w:r>
      <w:r>
        <w:rPr>
          <w:color w:val="auto"/>
          <w:highlight w:val="none"/>
        </w:rPr>
        <w:t>（中标人名称）于</w:t>
      </w:r>
      <w:r>
        <w:rPr>
          <w:rFonts w:ascii="Times New Roman" w:hAnsi="Times New Roman" w:eastAsia="Times New Roman" w:cs="Times New Roman"/>
          <w:color w:val="auto"/>
          <w:highlight w:val="none"/>
          <w:u w:val="single" w:color="000000"/>
        </w:rPr>
        <w:tab/>
      </w:r>
      <w:r>
        <w:rPr>
          <w:color w:val="auto"/>
          <w:highlight w:val="none"/>
        </w:rPr>
        <w:t>（投标日期）所递</w:t>
      </w:r>
      <w:r>
        <w:rPr>
          <w:color w:val="auto"/>
          <w:w w:val="95"/>
          <w:highlight w:val="none"/>
        </w:rPr>
        <w:t>交的</w:t>
      </w:r>
      <w:r>
        <w:rPr>
          <w:rFonts w:ascii="Times New Roman" w:hAnsi="Times New Roman" w:eastAsia="Times New Roman" w:cs="Times New Roman"/>
          <w:color w:val="auto"/>
          <w:w w:val="95"/>
          <w:highlight w:val="none"/>
          <w:u w:val="single" w:color="000000"/>
        </w:rPr>
        <w:tab/>
      </w:r>
      <w:r>
        <w:rPr>
          <w:color w:val="auto"/>
          <w:spacing w:val="-1"/>
          <w:w w:val="95"/>
          <w:highlight w:val="none"/>
        </w:rPr>
        <w:t>（项目名称）</w:t>
      </w:r>
      <w:r>
        <w:rPr>
          <w:rFonts w:ascii="Times New Roman" w:hAnsi="Times New Roman" w:eastAsia="Times New Roman" w:cs="Times New Roman"/>
          <w:color w:val="auto"/>
          <w:spacing w:val="-1"/>
          <w:w w:val="95"/>
          <w:highlight w:val="none"/>
          <w:u w:val="single" w:color="000000"/>
        </w:rPr>
        <w:tab/>
      </w:r>
      <w:r>
        <w:rPr>
          <w:rFonts w:ascii="Times New Roman" w:hAnsi="Times New Roman" w:eastAsia="Times New Roman" w:cs="Times New Roman"/>
          <w:color w:val="auto"/>
          <w:spacing w:val="-1"/>
          <w:w w:val="95"/>
          <w:highlight w:val="none"/>
          <w:u w:val="single" w:color="000000"/>
        </w:rPr>
        <w:tab/>
      </w:r>
      <w:r>
        <w:rPr>
          <w:color w:val="auto"/>
          <w:w w:val="95"/>
          <w:highlight w:val="none"/>
        </w:rPr>
        <w:t>标段施工投标文件，确定</w:t>
      </w:r>
      <w:r>
        <w:rPr>
          <w:rFonts w:ascii="Times New Roman" w:hAnsi="Times New Roman" w:eastAsia="Times New Roman" w:cs="Times New Roman"/>
          <w:color w:val="auto"/>
          <w:w w:val="95"/>
          <w:highlight w:val="none"/>
          <w:u w:val="single" w:color="000000"/>
        </w:rPr>
        <w:tab/>
      </w:r>
      <w:r>
        <w:rPr>
          <w:rFonts w:ascii="Times New Roman" w:hAnsi="Times New Roman" w:eastAsia="Times New Roman" w:cs="Times New Roman"/>
          <w:color w:val="auto"/>
          <w:w w:val="95"/>
          <w:highlight w:val="none"/>
          <w:u w:val="single" w:color="000000"/>
        </w:rPr>
        <w:tab/>
      </w:r>
      <w:r>
        <w:rPr>
          <w:color w:val="auto"/>
          <w:highlight w:val="none"/>
        </w:rPr>
        <w:t>（中标人名称）为中标人。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color w:val="auto"/>
          <w:highlight w:val="none"/>
        </w:rPr>
      </w:pPr>
      <w:r>
        <w:rPr>
          <w:color w:val="auto"/>
          <w:highlight w:val="none"/>
        </w:rPr>
        <w:t>感谢你单位对我们工作的大力支持！</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z w:val="21"/>
          <w:szCs w:val="21"/>
          <w:highlight w:val="none"/>
        </w:rPr>
      </w:pPr>
    </w:p>
    <w:p>
      <w:pPr>
        <w:pStyle w:val="9"/>
        <w:keepNext w:val="0"/>
        <w:keepLines w:val="0"/>
        <w:pageBreakBefore w:val="0"/>
        <w:widowControl w:val="0"/>
        <w:tabs>
          <w:tab w:val="left" w:pos="7668"/>
          <w:tab w:val="left" w:pos="8088"/>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eastAsia"/>
          <w:color w:val="auto"/>
          <w:w w:val="99"/>
          <w:highlight w:val="none"/>
          <w:lang w:val="en-US" w:eastAsia="zh-CN"/>
        </w:rPr>
      </w:pPr>
      <w:r>
        <w:rPr>
          <w:color w:val="auto"/>
          <w:w w:val="95"/>
          <w:highlight w:val="none"/>
        </w:rPr>
        <w:t>招标人：</w:t>
      </w:r>
      <w:r>
        <w:rPr>
          <w:rFonts w:hint="eastAsia"/>
          <w:color w:val="auto"/>
          <w:w w:val="95"/>
          <w:highlight w:val="none"/>
          <w:u w:val="single"/>
          <w:lang w:val="en-US" w:eastAsia="zh-CN"/>
        </w:rPr>
        <w:t xml:space="preserve">            </w:t>
      </w:r>
      <w:r>
        <w:rPr>
          <w:color w:val="auto"/>
          <w:highlight w:val="none"/>
        </w:rPr>
        <w:t>（盖单位章）</w:t>
      </w:r>
      <w:r>
        <w:rPr>
          <w:color w:val="auto"/>
          <w:w w:val="99"/>
          <w:highlight w:val="none"/>
        </w:rPr>
        <w:t xml:space="preserve"> </w:t>
      </w:r>
      <w:r>
        <w:rPr>
          <w:rFonts w:hint="eastAsia"/>
          <w:color w:val="auto"/>
          <w:w w:val="99"/>
          <w:highlight w:val="none"/>
          <w:lang w:val="en-US" w:eastAsia="zh-CN"/>
        </w:rPr>
        <w:t xml:space="preserve">      </w:t>
      </w:r>
    </w:p>
    <w:p>
      <w:pPr>
        <w:pStyle w:val="9"/>
        <w:keepNext w:val="0"/>
        <w:keepLines w:val="0"/>
        <w:pageBreakBefore w:val="0"/>
        <w:widowControl w:val="0"/>
        <w:tabs>
          <w:tab w:val="left" w:pos="7668"/>
          <w:tab w:val="left" w:pos="8088"/>
        </w:tabs>
        <w:kinsoku/>
        <w:wordWrap/>
        <w:overflowPunct/>
        <w:topLinePunct w:val="0"/>
        <w:autoSpaceDE/>
        <w:autoSpaceDN/>
        <w:bidi w:val="0"/>
        <w:adjustRightInd w:val="0"/>
        <w:snapToGrid w:val="0"/>
        <w:spacing w:line="360" w:lineRule="auto"/>
        <w:ind w:left="0" w:right="0" w:firstLine="0" w:firstLineChars="0"/>
        <w:jc w:val="right"/>
        <w:textAlignment w:val="auto"/>
        <w:rPr>
          <w:rFonts w:hint="default"/>
          <w:color w:val="auto"/>
          <w:w w:val="99"/>
          <w:highlight w:val="none"/>
          <w:lang w:val="en-US" w:eastAsia="zh-CN"/>
        </w:rPr>
      </w:pPr>
    </w:p>
    <w:p>
      <w:pPr>
        <w:pStyle w:val="9"/>
        <w:keepNext w:val="0"/>
        <w:keepLines w:val="0"/>
        <w:pageBreakBefore w:val="0"/>
        <w:widowControl w:val="0"/>
        <w:tabs>
          <w:tab w:val="left" w:pos="7668"/>
          <w:tab w:val="left" w:pos="8088"/>
        </w:tabs>
        <w:kinsoku/>
        <w:wordWrap w:val="0"/>
        <w:overflowPunct/>
        <w:topLinePunct w:val="0"/>
        <w:autoSpaceDE/>
        <w:autoSpaceDN/>
        <w:bidi w:val="0"/>
        <w:adjustRightInd w:val="0"/>
        <w:snapToGrid w:val="0"/>
        <w:spacing w:line="360" w:lineRule="auto"/>
        <w:ind w:left="0" w:right="0" w:firstLine="0" w:firstLineChars="0"/>
        <w:jc w:val="right"/>
        <w:textAlignment w:val="auto"/>
        <w:rPr>
          <w:rFonts w:hint="default" w:eastAsia="宋体"/>
          <w:color w:val="auto"/>
          <w:highlight w:val="none"/>
          <w:lang w:val="en-US" w:eastAsia="zh-CN"/>
        </w:rPr>
      </w:pPr>
      <w:r>
        <w:rPr>
          <w:color w:val="auto"/>
          <w:w w:val="95"/>
          <w:highlight w:val="none"/>
        </w:rPr>
        <w:t>法定代表人：</w:t>
      </w:r>
      <w:r>
        <w:rPr>
          <w:rFonts w:hint="eastAsia"/>
          <w:color w:val="auto"/>
          <w:w w:val="95"/>
          <w:highlight w:val="none"/>
          <w:u w:val="single"/>
          <w:lang w:val="en-US" w:eastAsia="zh-CN"/>
        </w:rPr>
        <w:t xml:space="preserve">                    </w:t>
      </w:r>
      <w:r>
        <w:rPr>
          <w:color w:val="auto"/>
          <w:highlight w:val="none"/>
        </w:rPr>
        <w:t>（签字）</w:t>
      </w:r>
      <w:r>
        <w:rPr>
          <w:rFonts w:hint="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right"/>
        <w:textAlignment w:val="auto"/>
        <w:rPr>
          <w:rFonts w:ascii="宋体" w:hAnsi="宋体" w:eastAsia="宋体" w:cs="宋体"/>
          <w:color w:val="auto"/>
          <w:sz w:val="17"/>
          <w:szCs w:val="17"/>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right"/>
        <w:textAlignment w:val="auto"/>
        <w:rPr>
          <w:rFonts w:hint="eastAsia" w:asciiTheme="minorEastAsia" w:hAnsiTheme="minorEastAsia" w:eastAsiaTheme="minorEastAsia" w:cstheme="minorEastAsia"/>
          <w:color w:val="auto"/>
          <w:spacing w:val="0"/>
          <w:w w:val="100"/>
          <w:sz w:val="21"/>
          <w:szCs w:val="21"/>
          <w:highlight w:val="none"/>
          <w:u w:val="single" w:color="000000"/>
          <w:lang w:val="en-US" w:eastAsia="zh-CN" w:bidi="ar-SA"/>
        </w:rPr>
      </w:pPr>
      <w:r>
        <w:rPr>
          <w:rFonts w:hint="eastAsia" w:asciiTheme="minorEastAsia" w:hAnsiTheme="minorEastAsia" w:eastAsiaTheme="minorEastAsia" w:cstheme="minorEastAsia"/>
          <w:color w:val="auto"/>
          <w:spacing w:val="0"/>
          <w:w w:val="100"/>
          <w:sz w:val="21"/>
          <w:szCs w:val="21"/>
          <w:highlight w:val="none"/>
          <w:u w:val="single" w:color="000000"/>
          <w:lang w:val="en-US" w:eastAsia="zh-CN"/>
        </w:rPr>
        <w:t xml:space="preserve">         </w:t>
      </w:r>
      <w:r>
        <w:rPr>
          <w:rFonts w:hint="eastAsia" w:asciiTheme="minorEastAsia" w:hAnsiTheme="minorEastAsia" w:eastAsiaTheme="minorEastAsia" w:cstheme="minorEastAsia"/>
          <w:color w:val="auto"/>
          <w:spacing w:val="0"/>
          <w:w w:val="100"/>
          <w:sz w:val="21"/>
          <w:szCs w:val="21"/>
          <w:highlight w:val="none"/>
          <w:u w:val="single" w:color="000000"/>
        </w:rPr>
        <w:t xml:space="preserve"> </w:t>
      </w:r>
      <w:r>
        <w:rPr>
          <w:rFonts w:hint="eastAsia" w:asciiTheme="minorEastAsia" w:hAnsiTheme="minorEastAsia" w:eastAsiaTheme="minorEastAsia" w:cstheme="minorEastAsia"/>
          <w:color w:val="auto"/>
          <w:spacing w:val="0"/>
          <w:w w:val="100"/>
          <w:sz w:val="21"/>
          <w:szCs w:val="21"/>
          <w:highlight w:val="none"/>
        </w:rPr>
        <w:t>年</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月</w:t>
      </w:r>
      <w:r>
        <w:rPr>
          <w:rFonts w:hint="eastAsia" w:asciiTheme="minorEastAsia" w:hAnsiTheme="minorEastAsia" w:eastAsiaTheme="minorEastAsia" w:cstheme="minorEastAsia"/>
          <w:color w:val="auto"/>
          <w:spacing w:val="0"/>
          <w:w w:val="100"/>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w w:val="100"/>
          <w:sz w:val="21"/>
          <w:szCs w:val="21"/>
          <w:highlight w:val="none"/>
        </w:rPr>
        <w:t>日</w:t>
      </w:r>
      <w:r>
        <w:rPr>
          <w:rFonts w:hint="eastAsia" w:asciiTheme="minorEastAsia" w:hAnsiTheme="minorEastAsia" w:eastAsiaTheme="minorEastAsia" w:cstheme="minorEastAsia"/>
          <w:color w:val="auto"/>
          <w:spacing w:val="0"/>
          <w:w w:val="10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z w:val="20"/>
          <w:szCs w:val="20"/>
          <w:highlight w:val="none"/>
        </w:rPr>
      </w:pPr>
    </w:p>
    <w:p>
      <w:pPr>
        <w:rPr>
          <w:rFonts w:hint="eastAsia" w:ascii="黑体" w:eastAsia="黑体"/>
          <w:color w:val="auto"/>
          <w:kern w:val="0"/>
          <w:sz w:val="28"/>
          <w:highlight w:val="none"/>
        </w:rPr>
      </w:pPr>
      <w:r>
        <w:rPr>
          <w:rFonts w:hint="eastAsia" w:ascii="黑体" w:eastAsia="黑体"/>
          <w:color w:val="auto"/>
          <w:kern w:val="0"/>
          <w:sz w:val="28"/>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ascii="黑体" w:hAnsi="黑体" w:eastAsia="黑体" w:cs="黑体"/>
          <w:color w:val="auto"/>
          <w:sz w:val="32"/>
          <w:szCs w:val="32"/>
          <w:highlight w:val="none"/>
        </w:rPr>
      </w:pPr>
      <w:bookmarkStart w:id="148" w:name="_Toc373142106"/>
      <w:bookmarkStart w:id="149" w:name="_Toc3326"/>
      <w:bookmarkStart w:id="150" w:name="_Toc1764"/>
      <w:bookmarkStart w:id="151" w:name="_Toc619"/>
      <w:r>
        <w:rPr>
          <w:rFonts w:hint="eastAsia" w:asciiTheme="majorEastAsia" w:hAnsiTheme="majorEastAsia" w:eastAsiaTheme="majorEastAsia" w:cstheme="majorEastAsia"/>
          <w:b/>
          <w:bCs/>
          <w:color w:val="auto"/>
          <w:sz w:val="32"/>
          <w:szCs w:val="32"/>
          <w:highlight w:val="none"/>
        </w:rPr>
        <w:t>第三章  评标办法</w:t>
      </w:r>
      <w:bookmarkEnd w:id="148"/>
      <w:bookmarkEnd w:id="149"/>
      <w:bookmarkEnd w:id="150"/>
      <w:bookmarkEnd w:id="151"/>
    </w:p>
    <w:p>
      <w:pPr>
        <w:pStyle w:val="2"/>
        <w:keepNext/>
        <w:keepLines/>
        <w:widowControl/>
        <w:spacing w:after="0" w:line="240" w:lineRule="auto"/>
        <w:ind w:left="0" w:firstLine="0" w:firstLineChars="0"/>
        <w:jc w:val="center"/>
        <w:outlineLvl w:val="1"/>
        <w:rPr>
          <w:rFonts w:ascii="宋体" w:hAnsi="宋体" w:eastAsia="宋体" w:cs="Times New Roman"/>
          <w:bCs w:val="0"/>
          <w:color w:val="auto"/>
          <w:kern w:val="0"/>
          <w:sz w:val="28"/>
          <w:szCs w:val="20"/>
          <w:highlight w:val="none"/>
          <w:lang w:eastAsia="zh-CN"/>
        </w:rPr>
      </w:pPr>
      <w:bookmarkStart w:id="152" w:name="第三章评标办法（综合评估法Ⅰ）"/>
      <w:bookmarkEnd w:id="152"/>
      <w:bookmarkStart w:id="153" w:name="_bookmark82"/>
      <w:bookmarkEnd w:id="153"/>
      <w:bookmarkStart w:id="154" w:name="_Toc246996231"/>
      <w:bookmarkStart w:id="155" w:name="_Toc144974555"/>
      <w:bookmarkStart w:id="156" w:name="_Toc28044"/>
      <w:bookmarkStart w:id="157" w:name="_Toc246996974"/>
      <w:bookmarkStart w:id="158" w:name="_Toc152042365"/>
      <w:bookmarkStart w:id="159" w:name="_Toc247085746"/>
      <w:bookmarkStart w:id="160" w:name="_Toc179632606"/>
      <w:bookmarkStart w:id="161" w:name="_Toc152045588"/>
      <w:bookmarkStart w:id="162" w:name="_Toc518997648"/>
      <w:bookmarkStart w:id="163" w:name="_Toc347478343"/>
      <w:bookmarkStart w:id="164" w:name="_Toc489088499"/>
      <w:bookmarkStart w:id="165" w:name="_Toc32007"/>
      <w:bookmarkStart w:id="166" w:name="_Toc8728"/>
      <w:r>
        <w:rPr>
          <w:rFonts w:ascii="宋体" w:hAnsi="宋体" w:eastAsia="宋体" w:cs="Times New Roman"/>
          <w:bCs w:val="0"/>
          <w:color w:val="auto"/>
          <w:kern w:val="0"/>
          <w:sz w:val="28"/>
          <w:szCs w:val="20"/>
          <w:highlight w:val="none"/>
          <w:lang w:eastAsia="zh-CN"/>
        </w:rPr>
        <w:t>评标办法前附表</w:t>
      </w:r>
      <w:bookmarkEnd w:id="154"/>
      <w:bookmarkEnd w:id="155"/>
      <w:bookmarkEnd w:id="156"/>
      <w:bookmarkEnd w:id="157"/>
      <w:bookmarkEnd w:id="158"/>
      <w:bookmarkEnd w:id="159"/>
      <w:bookmarkEnd w:id="160"/>
      <w:bookmarkEnd w:id="161"/>
      <w:bookmarkEnd w:id="162"/>
      <w:bookmarkEnd w:id="163"/>
      <w:bookmarkEnd w:id="164"/>
      <w:bookmarkEnd w:id="165"/>
      <w:r>
        <w:rPr>
          <w:rFonts w:hint="eastAsia" w:ascii="宋体" w:hAnsi="宋体" w:eastAsia="宋体" w:cs="Times New Roman"/>
          <w:bCs w:val="0"/>
          <w:color w:val="auto"/>
          <w:kern w:val="0"/>
          <w:sz w:val="28"/>
          <w:szCs w:val="20"/>
          <w:highlight w:val="none"/>
          <w:lang w:eastAsia="zh-CN"/>
        </w:rPr>
        <w:t>（</w:t>
      </w:r>
      <w:r>
        <w:rPr>
          <w:rFonts w:hint="eastAsia" w:ascii="宋体" w:hAnsi="宋体" w:eastAsia="宋体" w:cs="Times New Roman"/>
          <w:bCs w:val="0"/>
          <w:color w:val="auto"/>
          <w:kern w:val="0"/>
          <w:sz w:val="28"/>
          <w:szCs w:val="20"/>
          <w:highlight w:val="none"/>
          <w:lang w:val="en-US" w:eastAsia="zh-CN"/>
        </w:rPr>
        <w:t>适用于综合评估法</w:t>
      </w:r>
      <w:r>
        <w:rPr>
          <w:rFonts w:hint="eastAsia" w:ascii="宋体" w:hAnsi="宋体" w:eastAsia="宋体" w:cs="Times New Roman"/>
          <w:bCs w:val="0"/>
          <w:color w:val="auto"/>
          <w:kern w:val="0"/>
          <w:sz w:val="28"/>
          <w:szCs w:val="20"/>
          <w:highlight w:val="none"/>
          <w:lang w:eastAsia="zh-CN"/>
        </w:rPr>
        <w:t>）</w:t>
      </w:r>
      <w:bookmarkEnd w:id="166"/>
    </w:p>
    <w:tbl>
      <w:tblPr>
        <w:tblStyle w:val="19"/>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8"/>
        <w:gridCol w:w="275"/>
        <w:gridCol w:w="2138"/>
        <w:gridCol w:w="1277"/>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3" w:type="dxa"/>
            <w:gridSpan w:val="3"/>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条款号</w:t>
            </w: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评审因素</w:t>
            </w:r>
          </w:p>
        </w:tc>
        <w:tc>
          <w:tcPr>
            <w:tcW w:w="5387" w:type="dxa"/>
            <w:gridSpan w:val="2"/>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2.1.1</w:t>
            </w:r>
          </w:p>
        </w:tc>
        <w:tc>
          <w:tcPr>
            <w:tcW w:w="1123" w:type="dxa"/>
            <w:gridSpan w:val="2"/>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形式评审标准</w:t>
            </w: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投标人名称</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与投标报名、营业执照、资质证书、安全生产许可证一致</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w:t>
            </w:r>
            <w:r>
              <w:rPr>
                <w:rFonts w:hint="eastAsia" w:ascii="宋体" w:hAnsi="宋体" w:eastAsia="宋体" w:cs="Times New Roman"/>
                <w:color w:val="auto"/>
                <w:kern w:val="2"/>
                <w:sz w:val="21"/>
                <w:szCs w:val="21"/>
                <w:highlight w:val="none"/>
                <w:lang w:eastAsia="zh-CN"/>
              </w:rPr>
              <w:t>文件</w:t>
            </w:r>
            <w:r>
              <w:rPr>
                <w:rFonts w:ascii="宋体" w:hAnsi="宋体" w:eastAsia="宋体" w:cs="Times New Roman"/>
                <w:color w:val="auto"/>
                <w:kern w:val="2"/>
                <w:sz w:val="21"/>
                <w:szCs w:val="21"/>
                <w:highlight w:val="none"/>
                <w:lang w:eastAsia="zh-CN"/>
              </w:rPr>
              <w:t>签字盖章</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按招标文件规定签字盖章。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投标文件格式</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w:t>
            </w:r>
            <w:r>
              <w:rPr>
                <w:rFonts w:hint="eastAsia" w:ascii="宋体" w:hAnsi="宋体" w:eastAsia="宋体" w:cs="Times New Roman"/>
                <w:color w:val="auto"/>
                <w:kern w:val="2"/>
                <w:sz w:val="21"/>
                <w:szCs w:val="21"/>
                <w:highlight w:val="none"/>
                <w:lang w:eastAsia="zh-CN"/>
              </w:rPr>
              <w:t>八</w:t>
            </w:r>
            <w:r>
              <w:rPr>
                <w:rFonts w:ascii="宋体" w:hAnsi="宋体" w:eastAsia="宋体" w:cs="Times New Roman"/>
                <w:color w:val="auto"/>
                <w:kern w:val="2"/>
                <w:sz w:val="21"/>
                <w:szCs w:val="21"/>
                <w:highlight w:val="none"/>
                <w:lang w:eastAsia="zh-CN"/>
              </w:rPr>
              <w:t>章“投标文件格式”的要求</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报价唯一</w:t>
            </w:r>
          </w:p>
        </w:tc>
        <w:tc>
          <w:tcPr>
            <w:tcW w:w="5387" w:type="dxa"/>
            <w:gridSpan w:val="2"/>
            <w:noWrap w:val="0"/>
            <w:vAlign w:val="center"/>
          </w:tcPr>
          <w:p>
            <w:pPr>
              <w:spacing w:after="0" w:line="440" w:lineRule="exact"/>
              <w:ind w:firstLine="0" w:firstLineChars="0"/>
              <w:rPr>
                <w:rFonts w:hint="eastAsia"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只有一个有效报价</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shd w:val="clear" w:color="auto" w:fill="auto"/>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eastAsia="zh-CN"/>
              </w:rPr>
              <w:t>2.1.2</w:t>
            </w:r>
          </w:p>
        </w:tc>
        <w:tc>
          <w:tcPr>
            <w:tcW w:w="1123" w:type="dxa"/>
            <w:gridSpan w:val="2"/>
            <w:vMerge w:val="restart"/>
            <w:shd w:val="clear" w:color="auto" w:fill="auto"/>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eastAsia="zh-CN"/>
              </w:rPr>
              <w:t>资格评审标准</w:t>
            </w:r>
          </w:p>
        </w:tc>
        <w:tc>
          <w:tcPr>
            <w:tcW w:w="2138" w:type="dxa"/>
            <w:noWrap w:val="0"/>
            <w:vAlign w:val="center"/>
          </w:tcPr>
          <w:p>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资质条件</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财务要求</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信誉要求</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项目负责人</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eastAsia="zh-CN"/>
              </w:rPr>
              <w:t>联合体</w:t>
            </w:r>
            <w:r>
              <w:rPr>
                <w:rFonts w:hint="eastAsia" w:ascii="宋体" w:hAnsi="宋体" w:eastAsia="宋体" w:cs="Times New Roman"/>
                <w:color w:val="auto"/>
                <w:kern w:val="2"/>
                <w:sz w:val="21"/>
                <w:szCs w:val="21"/>
                <w:highlight w:val="none"/>
                <w:lang w:val="en-US" w:eastAsia="zh-CN"/>
              </w:rPr>
              <w:t>投标</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rPr>
            </w:pPr>
            <w:r>
              <w:rPr>
                <w:rFonts w:ascii="宋体" w:hAnsi="宋体" w:eastAsia="宋体" w:cs="Times New Roman"/>
                <w:color w:val="auto"/>
                <w:kern w:val="2"/>
                <w:sz w:val="21"/>
                <w:szCs w:val="21"/>
                <w:highlight w:val="none"/>
                <w:lang w:eastAsia="zh-CN"/>
              </w:rPr>
              <w:t>投标真实有效</w:t>
            </w:r>
          </w:p>
        </w:tc>
        <w:tc>
          <w:tcPr>
            <w:tcW w:w="5387" w:type="dxa"/>
            <w:gridSpan w:val="2"/>
            <w:shd w:val="clear" w:color="auto" w:fill="auto"/>
            <w:noWrap w:val="0"/>
            <w:vAlign w:val="center"/>
          </w:tcPr>
          <w:p>
            <w:pPr>
              <w:spacing w:after="0" w:line="440" w:lineRule="exact"/>
              <w:ind w:firstLine="0" w:firstLineChars="0"/>
              <w:rPr>
                <w:rFonts w:hint="default" w:ascii="宋体" w:hAnsi="宋体" w:eastAsia="宋体" w:cs="Times New Roman"/>
                <w:color w:val="auto"/>
                <w:kern w:val="2"/>
                <w:sz w:val="21"/>
                <w:szCs w:val="21"/>
                <w:highlight w:val="none"/>
                <w:lang w:val="en-US" w:eastAsia="zh-CN"/>
              </w:rPr>
            </w:pPr>
            <w:r>
              <w:rPr>
                <w:rFonts w:ascii="宋体" w:hAnsi="宋体" w:eastAsia="宋体" w:cs="Times New Roman"/>
                <w:color w:val="auto"/>
                <w:kern w:val="2"/>
                <w:sz w:val="21"/>
                <w:szCs w:val="21"/>
                <w:highlight w:val="none"/>
                <w:lang w:eastAsia="zh-CN"/>
              </w:rPr>
              <w:t>未发现投标人以他人名义投标、串通投标、以行贿手段谋取中标或者以其他弄虚作假方式投标</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网络安全</w:t>
            </w:r>
          </w:p>
        </w:tc>
        <w:tc>
          <w:tcPr>
            <w:tcW w:w="5387" w:type="dxa"/>
            <w:gridSpan w:val="2"/>
            <w:shd w:val="clear" w:color="auto" w:fill="auto"/>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重大技术装备不得在境外远程操控,在中国境内运营中收集和产生的个人信息和重要数据应当在境内存储。对于不符合《网络安全法》《数据安全法》《个人信息保护法》等有关国家安全法律法规的,经评标委员会认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2.1.3</w:t>
            </w:r>
          </w:p>
        </w:tc>
        <w:tc>
          <w:tcPr>
            <w:tcW w:w="1123" w:type="dxa"/>
            <w:gridSpan w:val="2"/>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响应性评审标准</w:t>
            </w: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工期</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投标文件载明的招标项目完成期限没有超过招标文件规定的期限。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质量标准</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投标文件有质量标准承诺且承诺满足招标文件要求。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投标有效期</w:t>
            </w:r>
          </w:p>
        </w:tc>
        <w:tc>
          <w:tcPr>
            <w:tcW w:w="5387" w:type="dxa"/>
            <w:gridSpan w:val="2"/>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投标保证金</w:t>
            </w:r>
          </w:p>
        </w:tc>
        <w:tc>
          <w:tcPr>
            <w:tcW w:w="5387" w:type="dxa"/>
            <w:gridSpan w:val="2"/>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投标报价</w:t>
            </w:r>
          </w:p>
        </w:tc>
        <w:tc>
          <w:tcPr>
            <w:tcW w:w="5387" w:type="dxa"/>
            <w:gridSpan w:val="2"/>
            <w:shd w:val="clear" w:color="auto" w:fill="auto"/>
            <w:noWrap w:val="0"/>
            <w:vAlign w:val="center"/>
          </w:tcPr>
          <w:p>
            <w:pPr>
              <w:spacing w:after="0" w:line="440" w:lineRule="exact"/>
              <w:ind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各项投标报价未超过招标控制价公布（或限价）的对应价格，按照招标文件报价要求的规定进行报价。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adjustRightInd w:val="0"/>
              <w:snapToGrid w:val="0"/>
              <w:spacing w:line="360" w:lineRule="auto"/>
              <w:ind w:left="0" w:leftChars="0" w:firstLine="0" w:firstLineChars="0"/>
              <w:jc w:val="center"/>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暂估价、暂列金</w:t>
            </w:r>
          </w:p>
        </w:tc>
        <w:tc>
          <w:tcPr>
            <w:tcW w:w="5387" w:type="dxa"/>
            <w:gridSpan w:val="2"/>
            <w:shd w:val="clear" w:color="auto" w:fill="auto"/>
            <w:noWrap w:val="0"/>
            <w:vAlign w:val="center"/>
          </w:tcPr>
          <w:p>
            <w:pPr>
              <w:adjustRightInd w:val="0"/>
              <w:snapToGrid w:val="0"/>
              <w:spacing w:line="360" w:lineRule="auto"/>
              <w:ind w:left="0" w:leftChars="0" w:firstLine="0" w:firstLineChars="0"/>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工程量清单中设有暂估价、暂列金的，投标人投标报价未按招标人规定的金额计入投标报价或更改的，作否决投标处理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工程量清单一致</w:t>
            </w:r>
          </w:p>
        </w:tc>
        <w:tc>
          <w:tcPr>
            <w:tcW w:w="5387" w:type="dxa"/>
            <w:gridSpan w:val="2"/>
            <w:shd w:val="clear" w:color="auto" w:fill="auto"/>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与招标人提供的工程量清单中项目编码、项目名称、项目特征、计量单位和工程量完全一致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评标澄清、说明或补正</w:t>
            </w:r>
          </w:p>
        </w:tc>
        <w:tc>
          <w:tcPr>
            <w:tcW w:w="5387" w:type="dxa"/>
            <w:gridSpan w:val="2"/>
            <w:shd w:val="clear" w:color="auto" w:fill="auto"/>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不按评标委员会要求进行澄清、说明或补正的作否决投标处理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其他明确的否决投标条款</w:t>
            </w:r>
          </w:p>
        </w:tc>
        <w:tc>
          <w:tcPr>
            <w:tcW w:w="5387" w:type="dxa"/>
            <w:gridSpan w:val="2"/>
            <w:shd w:val="clear" w:color="auto" w:fill="auto"/>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未能响应招标文件否决投标条款中提出的实质性要求和条件的作否决投标处理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498" w:type="dxa"/>
            <w:gridSpan w:val="6"/>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left"/>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2.2详细评审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条款内容</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after="0" w:line="360" w:lineRule="auto"/>
              <w:ind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eastAsia="zh-CN"/>
              </w:rPr>
              <w:t>2.2.1</w:t>
            </w:r>
          </w:p>
        </w:tc>
        <w:tc>
          <w:tcPr>
            <w:tcW w:w="3690" w:type="dxa"/>
            <w:gridSpan w:val="3"/>
            <w:tcBorders>
              <w:top w:val="single" w:color="auto"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after="0" w:line="360" w:lineRule="auto"/>
              <w:ind w:firstLine="0" w:firstLineChars="0"/>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技术标评分标准</w:t>
            </w:r>
          </w:p>
        </w:tc>
        <w:tc>
          <w:tcPr>
            <w:tcW w:w="41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eastAsia="zh-CN"/>
              </w:rPr>
              <w:t>技术标评标标准详见本章附件</w:t>
            </w:r>
            <w:r>
              <w:rPr>
                <w:rFonts w:ascii="宋体" w:hAnsi="宋体" w:eastAsia="宋体" w:cs="Times New Roman"/>
                <w:color w:val="auto"/>
                <w:kern w:val="0"/>
                <w:sz w:val="21"/>
                <w:szCs w:val="20"/>
                <w:highlight w:val="none"/>
                <w:lang w:eastAsia="zh-CN"/>
              </w:rPr>
              <w:t>A</w:t>
            </w:r>
            <w:r>
              <w:rPr>
                <w:rFonts w:hint="eastAsia" w:ascii="宋体" w:hAnsi="宋体" w:eastAsia="宋体" w:cs="Times New Roman"/>
                <w:color w:val="auto"/>
                <w:kern w:val="0"/>
                <w:sz w:val="21"/>
                <w:szCs w:val="20"/>
                <w:highlight w:val="none"/>
                <w:lang w:eastAsia="zh-CN"/>
              </w:rPr>
              <w:t>：评标详细程序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shd w:val="clear" w:color="auto" w:fill="auto"/>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eastAsia="zh-CN"/>
              </w:rPr>
              <w:t>2.2.2</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商务标评分标准</w:t>
            </w:r>
          </w:p>
        </w:tc>
        <w:tc>
          <w:tcPr>
            <w:tcW w:w="4110" w:type="dxa"/>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商务标评标标准详见本章附件A：评标详细程序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2.2.3</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0"/>
                <w:highlight w:val="none"/>
                <w:lang w:eastAsia="zh-CN"/>
              </w:rPr>
              <w:t>投标人的最后得分</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按下列公式计算出投标人的最后得分(总分100分)：</w:t>
            </w:r>
          </w:p>
          <w:p>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Z=S×Q1+J×Q</w:t>
            </w:r>
            <w:r>
              <w:rPr>
                <w:rFonts w:hint="eastAsia" w:ascii="宋体" w:hAnsi="宋体" w:eastAsia="宋体" w:cs="Times New Roman"/>
                <w:color w:val="auto"/>
                <w:kern w:val="0"/>
                <w:sz w:val="21"/>
                <w:szCs w:val="21"/>
                <w:highlight w:val="none"/>
                <w:lang w:val="en-US" w:eastAsia="zh-CN"/>
              </w:rPr>
              <w:t>2</w:t>
            </w:r>
          </w:p>
          <w:p>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其中：</w:t>
            </w:r>
          </w:p>
          <w:p>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Z：指投标人的最后得分；</w:t>
            </w:r>
          </w:p>
          <w:p>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S：指投标人的商务部分得分；</w:t>
            </w:r>
          </w:p>
          <w:p>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J：指投标人的技术部分得分；</w:t>
            </w:r>
          </w:p>
          <w:p>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Q1、Q2——各项评审因素的权重</w:t>
            </w:r>
          </w:p>
          <w:p>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商务</w:t>
            </w:r>
            <w:r>
              <w:rPr>
                <w:rFonts w:hint="eastAsia" w:ascii="宋体" w:hAnsi="宋体" w:eastAsia="宋体" w:cs="Times New Roman"/>
                <w:color w:val="auto"/>
                <w:kern w:val="0"/>
                <w:sz w:val="21"/>
                <w:szCs w:val="21"/>
                <w:highlight w:val="none"/>
                <w:lang w:eastAsia="zh-CN"/>
              </w:rPr>
              <w:t>部分Q1:0.</w:t>
            </w:r>
            <w:r>
              <w:rPr>
                <w:rFonts w:hint="eastAsia" w:ascii="宋体" w:hAnsi="宋体" w:eastAsia="宋体" w:cs="Times New Roman"/>
                <w:color w:val="auto"/>
                <w:kern w:val="0"/>
                <w:sz w:val="21"/>
                <w:szCs w:val="21"/>
                <w:highlight w:val="none"/>
                <w:lang w:val="en-US" w:eastAsia="zh-CN"/>
              </w:rPr>
              <w:t>3</w:t>
            </w:r>
            <w:r>
              <w:rPr>
                <w:rFonts w:hint="eastAsia" w:ascii="宋体" w:hAnsi="宋体" w:eastAsia="宋体" w:cs="Times New Roman"/>
                <w:color w:val="auto"/>
                <w:kern w:val="0"/>
                <w:sz w:val="21"/>
                <w:szCs w:val="21"/>
                <w:highlight w:val="none"/>
                <w:lang w:eastAsia="zh-CN"/>
              </w:rPr>
              <w:t>0～0.</w:t>
            </w:r>
            <w:r>
              <w:rPr>
                <w:rFonts w:hint="eastAsia" w:ascii="宋体" w:hAnsi="宋体" w:eastAsia="宋体" w:cs="Times New Roman"/>
                <w:color w:val="auto"/>
                <w:kern w:val="0"/>
                <w:sz w:val="21"/>
                <w:szCs w:val="21"/>
                <w:highlight w:val="none"/>
                <w:lang w:val="en-US" w:eastAsia="zh-CN"/>
              </w:rPr>
              <w:t>5</w:t>
            </w:r>
            <w:r>
              <w:rPr>
                <w:rFonts w:hint="eastAsia" w:ascii="宋体" w:hAnsi="宋体" w:eastAsia="宋体" w:cs="Times New Roman"/>
                <w:color w:val="auto"/>
                <w:kern w:val="0"/>
                <w:sz w:val="21"/>
                <w:szCs w:val="21"/>
                <w:highlight w:val="none"/>
                <w:lang w:eastAsia="zh-CN"/>
              </w:rPr>
              <w:t>0，本项目Q1值为</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w:t>
            </w:r>
          </w:p>
          <w:p>
            <w:pPr>
              <w:adjustRightInd w:val="0"/>
              <w:snapToGrid w:val="0"/>
              <w:spacing w:after="0" w:line="360" w:lineRule="auto"/>
              <w:ind w:firstLine="0" w:firstLineChars="0"/>
              <w:jc w:val="left"/>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技术</w:t>
            </w:r>
            <w:r>
              <w:rPr>
                <w:rFonts w:hint="eastAsia" w:ascii="宋体" w:hAnsi="宋体" w:eastAsia="宋体" w:cs="Times New Roman"/>
                <w:color w:val="auto"/>
                <w:kern w:val="0"/>
                <w:sz w:val="21"/>
                <w:szCs w:val="21"/>
                <w:highlight w:val="none"/>
                <w:lang w:eastAsia="zh-CN"/>
              </w:rPr>
              <w:t>部分Q2:0.50～0.70，本项目Q2值为</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w:t>
            </w:r>
          </w:p>
          <w:p>
            <w:pPr>
              <w:pStyle w:val="2"/>
              <w:ind w:left="0" w:leftChars="0" w:firstLine="0" w:firstLineChars="0"/>
              <w:rPr>
                <w:rFonts w:hint="eastAsia"/>
                <w:color w:val="auto"/>
                <w:highlight w:val="none"/>
                <w:lang w:eastAsia="zh-CN"/>
              </w:rPr>
            </w:pPr>
            <w:r>
              <w:rPr>
                <w:rFonts w:hint="eastAsia" w:ascii="宋体" w:hAnsi="宋体" w:eastAsia="宋体" w:cs="Times New Roman"/>
                <w:b w:val="0"/>
                <w:bCs w:val="0"/>
                <w:color w:val="auto"/>
                <w:kern w:val="0"/>
                <w:sz w:val="21"/>
                <w:szCs w:val="21"/>
                <w:highlight w:val="none"/>
                <w:lang w:val="en-US" w:eastAsia="zh-CN" w:bidi="ar-SA"/>
              </w:rPr>
              <w:t>Q1+Q2=1（具体权重招标人明确）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388" w:type="dxa"/>
            <w:gridSpan w:val="5"/>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3</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评标程序</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详见本章附件A：评标详细程序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4</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否决投标条款</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详见本章附件B：否决投标条款</w:t>
            </w:r>
          </w:p>
        </w:tc>
      </w:tr>
    </w:tbl>
    <w:p>
      <w:pPr>
        <w:spacing w:after="0" w:line="360" w:lineRule="auto"/>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ascii="宋体" w:hAnsi="宋体" w:eastAsia="宋体" w:cs="Times New Roman"/>
          <w:b/>
          <w:color w:val="auto"/>
          <w:kern w:val="2"/>
          <w:sz w:val="28"/>
          <w:highlight w:val="none"/>
          <w:lang w:val="en-US" w:eastAsia="zh-CN" w:bidi="ar-SA"/>
        </w:rPr>
        <w:br w:type="page"/>
      </w:r>
      <w:r>
        <w:rPr>
          <w:rFonts w:hint="eastAsia" w:asciiTheme="minorEastAsia" w:hAnsiTheme="minorEastAsia" w:eastAsiaTheme="minorEastAsia" w:cstheme="minorEastAsia"/>
          <w:b/>
          <w:color w:val="auto"/>
          <w:sz w:val="28"/>
          <w:szCs w:val="28"/>
          <w:highlight w:val="none"/>
        </w:rPr>
        <w:t>评标办法正文（综合评估法）</w:t>
      </w:r>
    </w:p>
    <w:p>
      <w:pPr>
        <w:spacing w:after="0" w:line="360" w:lineRule="auto"/>
        <w:ind w:firstLine="0" w:firstLineChars="0"/>
        <w:rPr>
          <w:rFonts w:ascii="宋体" w:hAnsi="宋体" w:eastAsia="宋体" w:cs="Times New Roman"/>
          <w:color w:val="auto"/>
          <w:kern w:val="2"/>
          <w:sz w:val="21"/>
          <w:szCs w:val="20"/>
          <w:highlight w:val="none"/>
          <w:lang w:eastAsia="zh-CN"/>
        </w:rPr>
      </w:pPr>
      <w:bookmarkStart w:id="167" w:name="_Toc309573836"/>
      <w:bookmarkStart w:id="168" w:name="_Toc308041883"/>
      <w:bookmarkStart w:id="169" w:name="_Toc390092124"/>
      <w:r>
        <w:rPr>
          <w:rFonts w:ascii="宋体" w:hAnsi="宋体" w:eastAsia="宋体" w:cs="Times New Roman"/>
          <w:color w:val="auto"/>
          <w:kern w:val="2"/>
          <w:sz w:val="21"/>
          <w:szCs w:val="20"/>
          <w:highlight w:val="none"/>
          <w:lang w:eastAsia="zh-CN"/>
        </w:rPr>
        <w:t>1.</w:t>
      </w:r>
      <w:r>
        <w:rPr>
          <w:rFonts w:hint="eastAsia" w:ascii="宋体" w:hAnsi="宋体" w:eastAsia="宋体" w:cs="Times New Roman"/>
          <w:color w:val="auto"/>
          <w:kern w:val="2"/>
          <w:sz w:val="21"/>
          <w:szCs w:val="20"/>
          <w:highlight w:val="none"/>
          <w:lang w:eastAsia="zh-CN"/>
        </w:rPr>
        <w:t>评标方法</w:t>
      </w:r>
      <w:bookmarkEnd w:id="167"/>
      <w:bookmarkEnd w:id="168"/>
      <w:bookmarkEnd w:id="169"/>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一、本项目评标办法采用综合评估法。</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二、本办法是评标委员会确定工程中标候选人的依据，在评标过程中应充分体现公平、公正、科学合理的原则。</w:t>
      </w:r>
    </w:p>
    <w:p>
      <w:pPr>
        <w:spacing w:after="0" w:line="360" w:lineRule="auto"/>
        <w:ind w:firstLine="0" w:firstLineChars="0"/>
        <w:rPr>
          <w:rFonts w:ascii="宋体" w:hAnsi="宋体" w:eastAsia="宋体" w:cs="Times New Roman"/>
          <w:color w:val="auto"/>
          <w:kern w:val="2"/>
          <w:sz w:val="24"/>
          <w:szCs w:val="20"/>
          <w:highlight w:val="none"/>
          <w:lang w:eastAsia="zh-CN"/>
        </w:rPr>
      </w:pPr>
      <w:bookmarkStart w:id="170" w:name="_Toc390092125"/>
      <w:bookmarkStart w:id="171" w:name="_Toc309573837"/>
      <w:bookmarkStart w:id="172" w:name="_Toc308041884"/>
      <w:r>
        <w:rPr>
          <w:rFonts w:ascii="宋体" w:hAnsi="宋体" w:eastAsia="宋体" w:cs="Times New Roman"/>
          <w:color w:val="auto"/>
          <w:kern w:val="2"/>
          <w:sz w:val="21"/>
          <w:szCs w:val="20"/>
          <w:highlight w:val="none"/>
          <w:lang w:eastAsia="zh-CN"/>
        </w:rPr>
        <w:t>2</w:t>
      </w:r>
      <w:r>
        <w:rPr>
          <w:rFonts w:hint="eastAsia" w:ascii="宋体" w:hAnsi="宋体" w:eastAsia="宋体" w:cs="Times New Roman"/>
          <w:color w:val="auto"/>
          <w:kern w:val="2"/>
          <w:sz w:val="21"/>
          <w:szCs w:val="20"/>
          <w:highlight w:val="none"/>
          <w:lang w:eastAsia="zh-CN"/>
        </w:rPr>
        <w:t>．评审标准</w:t>
      </w:r>
      <w:bookmarkEnd w:id="170"/>
      <w:bookmarkEnd w:id="171"/>
      <w:bookmarkEnd w:id="172"/>
      <w:r>
        <w:rPr>
          <w:rFonts w:ascii="宋体" w:hAnsi="宋体" w:eastAsia="宋体" w:cs="Times New Roman"/>
          <w:color w:val="auto"/>
          <w:kern w:val="2"/>
          <w:sz w:val="21"/>
          <w:szCs w:val="20"/>
          <w:highlight w:val="none"/>
          <w:lang w:eastAsia="zh-CN"/>
        </w:rPr>
        <w:t xml:space="preserve"> </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2.1.1 形式评审标准：见评标办法前附表。</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2.1.2 资格评审标准：见评标办法前附表。</w:t>
      </w:r>
    </w:p>
    <w:p>
      <w:pPr>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2.1.3 响应性评审标准：见评标办法前附表。</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2.2 详细评审标准：见评标办法前附表。</w:t>
      </w:r>
    </w:p>
    <w:p>
      <w:pPr>
        <w:spacing w:after="0" w:line="360" w:lineRule="auto"/>
        <w:ind w:firstLine="0" w:firstLineChars="0"/>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t>3</w:t>
      </w:r>
      <w:r>
        <w:rPr>
          <w:rFonts w:hint="eastAsia" w:ascii="宋体" w:hAnsi="宋体" w:eastAsia="宋体" w:cs="Times New Roman"/>
          <w:color w:val="auto"/>
          <w:kern w:val="2"/>
          <w:sz w:val="21"/>
          <w:szCs w:val="20"/>
          <w:highlight w:val="none"/>
          <w:lang w:eastAsia="zh-CN"/>
        </w:rPr>
        <w:t>．评标程序</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 初步评审</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3.1.1 评标委员会依据本章第2.1.1项、第2.1.2项、第2.1.3项顺序及规定的评审标准对投标文件进行初步评审。有一项不符合评审标准的，作否决投标处理。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3.1.2 投标报价有算术错误的，评标委员会按以下原则对投标报价进行修正，修正的价格经投标人书面确认后具有约束力。投标人不接受修正价格的，其投标作否决投标处理。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（1）投标文件中的大写金额与小写金额不一致的，以大写金额为准；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（2）总价金额与依据单价计算出的结果不一致的，以单价金额为准修正总价，但单价金额小数点有明显错误的除外。</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 详细评审</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3.2.1 评标委员会按本章第2.2款规定的量化因素和分值进行打分，并计算出最终得分。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3.2.2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 投标文件的澄清和补正</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3.3.1 在评标过程中，评标委员会可以书面形式要求投标人对所上传投标文件中不明确的内容进行书面澄清或说明，或者对细微偏差进行补正。评标委员会不接受投标人主动提出的澄清、说明或补正。 </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3.3.2 澄清、说明和补正不得改变投标文件的实质性内容（算术性错误修正的除外）。投标人的书面澄清、说明和补正属于投标文件的组成部分。 </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3.3.3 评标委员会对投标人提交的澄清、说明或补正有疑问的，可以要求投标人进一步澄清、说明或补正，直至满足评标委员会的要求。</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3.4 评标结果 </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3.4.1 除第二章“投标人须知”前附表授权直接确定中标人外，评标委员会按照最后得分由高到低的顺序推荐中标候选人，</w:t>
      </w:r>
      <w:r>
        <w:rPr>
          <w:rFonts w:hint="eastAsia" w:ascii="宋体" w:hAnsi="宋体" w:eastAsia="宋体" w:cs="Times New Roman"/>
          <w:color w:val="auto"/>
          <w:kern w:val="2"/>
          <w:sz w:val="21"/>
          <w:szCs w:val="20"/>
          <w:highlight w:val="none"/>
          <w:lang w:val="en-US" w:eastAsia="zh-CN"/>
        </w:rPr>
        <w:t>若最后得分相同按投标报价低者优先，若投标报价也相同由评标委员会记名投票决定</w:t>
      </w:r>
      <w:r>
        <w:rPr>
          <w:rFonts w:hint="eastAsia" w:ascii="宋体" w:hAnsi="宋体" w:eastAsia="宋体" w:cs="Times New Roman"/>
          <w:color w:val="auto"/>
          <w:kern w:val="2"/>
          <w:sz w:val="21"/>
          <w:szCs w:val="20"/>
          <w:highlight w:val="none"/>
          <w:lang w:eastAsia="zh-CN"/>
        </w:rPr>
        <w:t>。</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3.4.2 评标委员会完成评标后，应当向招标人提交书面评标报告。评标报告由评标委员会全体成员签字。对评标结论和建议持有异议的评标委员可以书面方式阐述其不同意见和理由。评标委员会成员拒绝在评标报告上签字且不陈述其不同意见和理由的，视为同意评标结论和建议。评标委员会负责人应当对此做出书面说明并记录在案。</w:t>
      </w:r>
    </w:p>
    <w:p>
      <w:pPr>
        <w:adjustRightInd w:val="0"/>
        <w:snapToGrid w:val="0"/>
        <w:spacing w:after="0" w:line="36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p>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173" w:name="_Toc19242"/>
      <w:bookmarkStart w:id="174" w:name="_Toc26613"/>
      <w:bookmarkStart w:id="175" w:name="_Toc23981"/>
      <w:bookmarkStart w:id="176" w:name="技术标评审复杂1"/>
      <w:r>
        <w:rPr>
          <w:rFonts w:hint="eastAsia" w:ascii="宋体" w:hAnsi="宋体" w:eastAsia="宋体" w:cs="Times New Roman"/>
          <w:color w:val="auto"/>
          <w:kern w:val="0"/>
          <w:sz w:val="28"/>
          <w:szCs w:val="20"/>
          <w:highlight w:val="none"/>
          <w:lang w:eastAsia="zh-CN"/>
        </w:rPr>
        <w:t>附件A：评标详细程序</w:t>
      </w:r>
      <w:bookmarkEnd w:id="173"/>
      <w:bookmarkEnd w:id="174"/>
      <w:bookmarkEnd w:id="175"/>
    </w:p>
    <w:p>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评标详细程序</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A0.总  则</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本附件是本章“评标办法”的组成部分，评标委员会应当按照本附件所规定的详细程序开展并完成评标工作。</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A1.基本程序</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评标活动将按以下五个步骤进行：</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(1)评标准备；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(2)初步评审；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(3)详细评审；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(4)澄清、说明或补正；</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(5)推荐中标候选人或者直接确定中标人及提交评标报告。</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A2.评标准备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A2.1评标委员会成员签到</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评标委员会成员到达评标现场签到并组建评标委员会。</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A2.2评标委员会的分工</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A2.3熟悉文件资料</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2.3.1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如果有）、工程所在地工程造价管理部门颁布的工程造价信息、定额（如作为计价依据时）、有关的法律、法规、规章、国家标准以及招标人或评标委员会认为必要的其他信息和数据。</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A2.4对投标文件进行基础性数据分析和整理工作（清标）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标成果审议后，决定需要投标人进行书面澄清、说明或补正的问题，形成质疑问卷，向投标人发出问题澄清通知（质疑问卷）。</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A3.初步评审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1"/>
          <w:highlight w:val="none"/>
          <w:lang w:eastAsia="zh-CN"/>
        </w:rPr>
        <w:t>评标委员会依据本章第2.1.1项、第2.1.2项、第2.1.3项规定的评审标准对投标文件进行初步评审。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A3.1形式评审</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评标委员会根据评标办法前附表中规定的评审因素和评审标准，对投标人的投标文件首先进行形式评审，形式评审不通过的投标文件不进入资格评审。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A3.2资格评审</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评标委员会根据评标办法前附表中规定的评审因素和评审标准，对投标人的投标文件首先进行资格评审，资格评审不通过的投标文件不进入响应性评审。</w:t>
      </w:r>
    </w:p>
    <w:p>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A3.3响应性评审</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评标委员会根据评标办法前附表中规定的评审因素和评审标准，对投标人的投标文件进行响应性评审，响应性不通过的投标文件不进入详细评审。</w:t>
      </w:r>
    </w:p>
    <w:p>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A3.4判断投标是否被否决</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A3.4.1判断投标人的投标是否为否决投标的全部条款在本章附件B中集中列示。</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A3.4.2评标委员会在评标(包括初步评审和详细评审)过程中，依据本章附件B中规定的否决投标条款判断投标人的投标是否被否决。</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3.4.3对投标人未通过评审的原因，评标委员会应在相关的决议或在评标报告中说明。评标委员会经评审，有效投标文件不足3家使得投标明显缺乏竞争的，评标委员会可以否决全部投标。所有投标被否决后，招标人应当依法重新招标。当有效投标文件不足3家时，评标委员会认为仍能满足业主要求，并具有竞争性的，评标委员会按综合评估法</w:t>
      </w:r>
      <w:r>
        <w:rPr>
          <w:rFonts w:hint="eastAsia" w:ascii="宋体" w:hAnsi="宋体" w:eastAsia="宋体" w:cs="Times New Roman"/>
          <w:color w:val="auto"/>
          <w:kern w:val="2"/>
          <w:sz w:val="21"/>
          <w:szCs w:val="21"/>
          <w:highlight w:val="none"/>
          <w:lang w:val="en-US" w:eastAsia="zh-CN"/>
        </w:rPr>
        <w:t>推荐中标候选人，并</w:t>
      </w:r>
      <w:r>
        <w:rPr>
          <w:rFonts w:hint="eastAsia" w:ascii="宋体" w:hAnsi="宋体" w:eastAsia="宋体" w:cs="Times New Roman"/>
          <w:color w:val="auto"/>
          <w:kern w:val="2"/>
          <w:sz w:val="21"/>
          <w:szCs w:val="21"/>
          <w:highlight w:val="none"/>
          <w:lang w:eastAsia="zh-CN"/>
        </w:rPr>
        <w:t>在评标报告中阐明</w:t>
      </w:r>
      <w:r>
        <w:rPr>
          <w:rFonts w:hint="eastAsia" w:ascii="宋体" w:hAnsi="宋体" w:eastAsia="宋体" w:cs="Times New Roman"/>
          <w:color w:val="auto"/>
          <w:kern w:val="2"/>
          <w:sz w:val="21"/>
          <w:szCs w:val="21"/>
          <w:highlight w:val="none"/>
          <w:lang w:val="en-US" w:eastAsia="zh-CN"/>
        </w:rPr>
        <w:t>推荐</w:t>
      </w:r>
      <w:r>
        <w:rPr>
          <w:rFonts w:hint="eastAsia" w:ascii="宋体" w:hAnsi="宋体" w:eastAsia="宋体" w:cs="Times New Roman"/>
          <w:color w:val="auto"/>
          <w:kern w:val="2"/>
          <w:sz w:val="21"/>
          <w:szCs w:val="21"/>
          <w:highlight w:val="none"/>
          <w:lang w:eastAsia="zh-CN"/>
        </w:rPr>
        <w:t>理由。</w:t>
      </w:r>
    </w:p>
    <w:p>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A3.5算术错误修正</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投标报价有算术错误的，评标委员会按以下原则对投标报价进行修正，修正的价格经投标人书面确认后具有约束力。投标人不接受修正价格的，其投标作否决投标处理。</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（1）投标文件中的大写金额与小写金额不一致的，以大写金额为准；</w:t>
      </w:r>
    </w:p>
    <w:p>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（2）总价金额与依据单价计算出的结果不一致的，以单价金额为准修正总价，但单价金额小数点有明显错误的除外。</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A3.6澄清、说明或补正</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A4.详细评审</w:t>
      </w:r>
    </w:p>
    <w:p>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只有通过了初步评审、被判定为合格的投标人可进入详细评审，详细评审先评投标文件</w:t>
      </w:r>
      <w:r>
        <w:rPr>
          <w:rFonts w:hint="eastAsia" w:ascii="宋体" w:hAnsi="宋体" w:eastAsia="宋体" w:cs="Times New Roman"/>
          <w:color w:val="auto"/>
          <w:kern w:val="0"/>
          <w:sz w:val="21"/>
          <w:szCs w:val="20"/>
          <w:highlight w:val="none"/>
          <w:lang w:val="en-US" w:eastAsia="zh-CN"/>
        </w:rPr>
        <w:t>技术</w:t>
      </w:r>
      <w:r>
        <w:rPr>
          <w:rFonts w:hint="eastAsia" w:ascii="宋体" w:hAnsi="宋体" w:eastAsia="宋体" w:cs="Times New Roman"/>
          <w:color w:val="auto"/>
          <w:kern w:val="0"/>
          <w:sz w:val="21"/>
          <w:szCs w:val="20"/>
          <w:highlight w:val="none"/>
          <w:lang w:eastAsia="zh-CN"/>
        </w:rPr>
        <w:t>部分再评投标文件</w:t>
      </w:r>
      <w:r>
        <w:rPr>
          <w:rFonts w:hint="eastAsia" w:ascii="宋体" w:hAnsi="宋体" w:eastAsia="宋体" w:cs="Times New Roman"/>
          <w:color w:val="auto"/>
          <w:kern w:val="0"/>
          <w:sz w:val="21"/>
          <w:szCs w:val="20"/>
          <w:highlight w:val="none"/>
          <w:lang w:val="en-US" w:eastAsia="zh-CN"/>
        </w:rPr>
        <w:t>商务</w:t>
      </w:r>
      <w:r>
        <w:rPr>
          <w:rFonts w:hint="eastAsia" w:ascii="宋体" w:hAnsi="宋体" w:eastAsia="宋体" w:cs="Times New Roman"/>
          <w:color w:val="auto"/>
          <w:kern w:val="0"/>
          <w:sz w:val="21"/>
          <w:szCs w:val="20"/>
          <w:highlight w:val="none"/>
          <w:lang w:eastAsia="zh-CN"/>
        </w:rPr>
        <w:t>部分。</w:t>
      </w:r>
    </w:p>
    <w:p>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A4.</w:t>
      </w:r>
      <w:r>
        <w:rPr>
          <w:rFonts w:hint="eastAsia" w:ascii="宋体" w:hAnsi="宋体" w:eastAsia="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eastAsia="zh-CN"/>
        </w:rPr>
        <w:t>技术部分评分方法（</w:t>
      </w:r>
      <w:r>
        <w:rPr>
          <w:rFonts w:hint="eastAsia" w:ascii="宋体" w:hAnsi="宋体" w:eastAsia="宋体" w:cs="Times New Roman"/>
          <w:bCs/>
          <w:color w:val="auto"/>
          <w:kern w:val="2"/>
          <w:sz w:val="21"/>
          <w:szCs w:val="21"/>
          <w:highlight w:val="none"/>
          <w:lang w:eastAsia="zh-CN"/>
        </w:rPr>
        <w:t>技术部</w:t>
      </w:r>
      <w:r>
        <w:rPr>
          <w:rFonts w:hint="eastAsia" w:ascii="宋体" w:hAnsi="宋体" w:eastAsia="宋体" w:cs="Times New Roman"/>
          <w:bCs/>
          <w:color w:val="auto"/>
          <w:kern w:val="2"/>
          <w:sz w:val="21"/>
          <w:szCs w:val="21"/>
          <w:highlight w:val="none"/>
          <w:lang w:val="en-US" w:eastAsia="zh-CN"/>
        </w:rPr>
        <w:t>分</w:t>
      </w:r>
      <w:r>
        <w:rPr>
          <w:rFonts w:hint="eastAsia" w:ascii="宋体" w:hAnsi="宋体" w:eastAsia="宋体" w:cs="Times New Roman"/>
          <w:bCs/>
          <w:color w:val="auto"/>
          <w:kern w:val="2"/>
          <w:sz w:val="21"/>
          <w:szCs w:val="21"/>
          <w:highlight w:val="none"/>
          <w:lang w:eastAsia="zh-CN"/>
        </w:rPr>
        <w:t>满分分值</w:t>
      </w:r>
      <w:r>
        <w:rPr>
          <w:rFonts w:hint="eastAsia" w:ascii="宋体" w:hAnsi="宋体" w:eastAsia="宋体" w:cs="Times New Roman"/>
          <w:bCs/>
          <w:color w:val="auto"/>
          <w:kern w:val="2"/>
          <w:sz w:val="21"/>
          <w:szCs w:val="21"/>
          <w:highlight w:val="none"/>
          <w:lang w:val="en-US" w:eastAsia="zh-CN"/>
        </w:rPr>
        <w:t>10</w:t>
      </w:r>
      <w:r>
        <w:rPr>
          <w:rFonts w:hint="eastAsia" w:ascii="宋体" w:hAnsi="宋体" w:eastAsia="宋体" w:cs="Times New Roman"/>
          <w:bCs/>
          <w:color w:val="auto"/>
          <w:kern w:val="2"/>
          <w:sz w:val="21"/>
          <w:szCs w:val="21"/>
          <w:highlight w:val="none"/>
          <w:lang w:eastAsia="zh-CN"/>
        </w:rPr>
        <w:t>0分）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.1对项目的理解、重难点分析及合理化建议（</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a)对招标项目的关键技术、工艺有明确、深入的表述，对施工重点、难点、经济、安全的解决方案和保证措施方案及合理化建议切实可行，得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b)对招标项目的关键技术、工艺有较明确的表述，对施工重点、难点、经济、安全的解决方案和保证措施方案及合理化建议可行，得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c)对招标项目的关键技术、工艺的表述不够明确，对施工重点、难点、经济、安全的解决方案和保证措施方案及合理化建议基本可行，得1-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d)对招标项目的关键技术、工艺的表述</w:t>
      </w:r>
      <w:r>
        <w:rPr>
          <w:rFonts w:hint="eastAsia" w:ascii="宋体" w:hAnsi="宋体" w:eastAsia="宋体" w:cs="Times New Roman"/>
          <w:color w:val="auto"/>
          <w:kern w:val="2"/>
          <w:sz w:val="21"/>
          <w:szCs w:val="20"/>
          <w:highlight w:val="none"/>
          <w:lang w:val="en-US" w:eastAsia="zh-CN"/>
        </w:rPr>
        <w:t>有误</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无</w:t>
      </w:r>
      <w:r>
        <w:rPr>
          <w:rFonts w:hint="eastAsia" w:ascii="宋体" w:hAnsi="宋体" w:eastAsia="宋体" w:cs="Times New Roman"/>
          <w:color w:val="auto"/>
          <w:kern w:val="2"/>
          <w:sz w:val="21"/>
          <w:szCs w:val="20"/>
          <w:highlight w:val="none"/>
          <w:lang w:eastAsia="zh-CN"/>
        </w:rPr>
        <w:t>施工重点、难点、经济、安全的解决方案</w:t>
      </w:r>
      <w:r>
        <w:rPr>
          <w:rFonts w:hint="eastAsia" w:ascii="宋体" w:hAnsi="宋体" w:eastAsia="宋体" w:cs="Times New Roman"/>
          <w:color w:val="auto"/>
          <w:kern w:val="2"/>
          <w:sz w:val="21"/>
          <w:szCs w:val="20"/>
          <w:highlight w:val="none"/>
          <w:lang w:val="en-US" w:eastAsia="zh-CN"/>
        </w:rPr>
        <w:t>的</w:t>
      </w:r>
      <w:r>
        <w:rPr>
          <w:rFonts w:hint="eastAsia" w:ascii="宋体" w:hAnsi="宋体" w:eastAsia="宋体" w:cs="Times New Roman"/>
          <w:color w:val="auto"/>
          <w:kern w:val="2"/>
          <w:sz w:val="21"/>
          <w:szCs w:val="20"/>
          <w:highlight w:val="none"/>
          <w:lang w:eastAsia="zh-CN"/>
        </w:rPr>
        <w:t>，不得分。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w:t>
      </w:r>
      <w:r>
        <w:rPr>
          <w:rFonts w:hint="eastAsia" w:ascii="宋体" w:hAnsi="宋体" w:eastAsia="宋体" w:cs="Times New Roman"/>
          <w:color w:val="auto"/>
          <w:kern w:val="2"/>
          <w:sz w:val="21"/>
          <w:szCs w:val="20"/>
          <w:highlight w:val="none"/>
          <w:lang w:eastAsia="zh-CN"/>
        </w:rPr>
        <w:t>施工技术方案评审评分（</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a)施工技术方案合理且能指导施工，施工措施具体且有针对性，施工部署全面的，得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b)施工技术方案合理但对施工指导性一般，施工措施具体但针对性一般，施工部署全面的，得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c)施工技术方案基本合理、对施工缺乏指导性，施工措施、施工部署基本合理但存在一些问题的，得1-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d)施工技术方案、施工措施、施工部署存在有明显错误的，不得分。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工期承诺和保证措施评审评分（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a）工期承诺满足招标文件要求，工期保证措施合理且有针对性，有具体的违约责任承诺的；施工进度计划严格按投标工期安排，工序搭配逻辑关系和关键线路清晰、合理，并能指导施工且针对性好的，得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b）工期承诺满足招标文件要求，工期保证措施合理但针对性一般，有具体的违约责任承诺的；施工进度计划按投标工期安排，工序搭配逻辑关系和关键线路合理，但针对性一般的，得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c）工期承诺满足招标文件要求，工期保证措施基本合理，有具体的违约责任承诺的；施工进度计划符合投标工期要求，工序搭配逻辑关系和关键线路基本合理，但缺乏针对性的，得1-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劳动力安排和机械设备投入计划及其保证措施评审评分（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a）劳动力安排和机械设备投入计划与施工进度计划呼应，能较好满足施工需要，调配投入计划合理，能指导施工且针对性好的，得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b）劳动力安排和机械投设备入计划与施工进度计划呼应，能满足施工需要，调配投入计划合理，但针对性和指导性一般的，得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c）劳动力安排和机械投设备入计划与施工进度计划基本呼应，能基本满足施工需要，调配投入计划基本合理，但缺乏针对性的，得1-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d）劳动力安排和机械投设备入计划与施工进度计划不能呼应的，不得分。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5</w:t>
      </w:r>
      <w:r>
        <w:rPr>
          <w:rFonts w:hint="eastAsia" w:ascii="宋体" w:hAnsi="宋体" w:eastAsia="宋体" w:cs="Times New Roman"/>
          <w:color w:val="auto"/>
          <w:kern w:val="2"/>
          <w:sz w:val="21"/>
          <w:szCs w:val="20"/>
          <w:highlight w:val="none"/>
          <w:lang w:eastAsia="zh-CN"/>
        </w:rPr>
        <w:t>安全文明施工保证措施及环境保护措施评审评分（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a）投标书中有具体、完整、可行的安全文明及环境保护施工实施保证措施且合理、先进、针对性好，得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b）投标书中有基本具体、可行的安全文明及环境保护施工实施保证措施，得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c）投标书中安全文明及环境保护施工保证措施不具体存、有错漏，得</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6</w:t>
      </w:r>
      <w:r>
        <w:rPr>
          <w:rFonts w:hint="eastAsia" w:ascii="宋体" w:hAnsi="宋体" w:eastAsia="宋体" w:cs="Times New Roman"/>
          <w:color w:val="auto"/>
          <w:kern w:val="2"/>
          <w:sz w:val="21"/>
          <w:szCs w:val="20"/>
          <w:highlight w:val="none"/>
          <w:lang w:eastAsia="zh-CN"/>
        </w:rPr>
        <w:t>质量承诺及服务承诺评审评分（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a)质量保证和服务承诺内容具体，有针对性，切实可行，并附有服务违约承诺的，得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b)质量保证和服务承诺有其他服务承诺，但内容不具体，针对性一般，并附有具体违约承诺的，得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c)质量保证和服务承诺其他服务承诺不明确，没有针对性，或无具体违约承诺的，不得分。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项目负责人及项目管理人员配置评审评分（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a）项目管理人员针对工程实际配置且合理，能满足工程管理需要且有针对性的，得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b）项目管理人员配置合理，能满足工程管理需要，但专业配置针对性一般的，得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c）项目管理人员配置基本合理，基本能满足工程管理需要，但专业配置没有针对性的，得1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施工总平面布置图评审评分（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a）施工总平面图布置合理，区域划分科学，组织运输合理，图示标识准确，针对工程实际强，得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b）施工总平面图布置相对合理，区域划分相对科学，组织运输相对合理，图示标识相对准确，针对工程实际较强，得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color w:val="auto"/>
          <w:highlight w:val="none"/>
          <w:lang w:eastAsia="zh-CN"/>
        </w:rPr>
      </w:pPr>
      <w:r>
        <w:rPr>
          <w:rFonts w:hint="eastAsia" w:ascii="宋体" w:hAnsi="宋体" w:eastAsia="宋体" w:cs="Times New Roman"/>
          <w:color w:val="auto"/>
          <w:kern w:val="2"/>
          <w:sz w:val="21"/>
          <w:szCs w:val="20"/>
          <w:highlight w:val="none"/>
          <w:lang w:eastAsia="zh-CN"/>
        </w:rPr>
        <w:t>c）施工总平面图布置基本合理，区域划分基本可行，组织运输基本合理，图示标识基本准确，针对性一般。</w:t>
      </w:r>
    </w:p>
    <w:p>
      <w:pPr>
        <w:adjustRightInd w:val="0"/>
        <w:snapToGrid w:val="0"/>
        <w:spacing w:after="0" w:line="360" w:lineRule="auto"/>
        <w:ind w:firstLine="210" w:firstLineChars="100"/>
        <w:rPr>
          <w:rFonts w:ascii="宋体" w:hAnsi="宋体" w:eastAsia="宋体" w:cs="Times New Roman"/>
          <w:bCs/>
          <w:color w:val="auto"/>
          <w:kern w:val="0"/>
          <w:sz w:val="21"/>
          <w:szCs w:val="21"/>
          <w:highlight w:val="none"/>
          <w:lang w:eastAsia="zh-CN"/>
        </w:rPr>
      </w:pPr>
      <w:r>
        <w:rPr>
          <w:rFonts w:hint="eastAsia" w:ascii="宋体" w:hAnsi="宋体" w:eastAsia="宋体" w:cs="Times New Roman"/>
          <w:color w:val="auto"/>
          <w:kern w:val="2"/>
          <w:sz w:val="21"/>
          <w:szCs w:val="21"/>
          <w:highlight w:val="none"/>
          <w:lang w:eastAsia="zh-CN"/>
        </w:rPr>
        <w:t>A4.</w:t>
      </w:r>
      <w:r>
        <w:rPr>
          <w:rFonts w:hint="eastAsia" w:ascii="宋体" w:hAnsi="宋体" w:eastAsia="宋体" w:cs="Times New Roman"/>
          <w:color w:val="auto"/>
          <w:kern w:val="2"/>
          <w:sz w:val="21"/>
          <w:szCs w:val="21"/>
          <w:highlight w:val="none"/>
          <w:lang w:val="en-US" w:eastAsia="zh-CN"/>
        </w:rPr>
        <w:t>2</w:t>
      </w:r>
      <w:r>
        <w:rPr>
          <w:rFonts w:hint="eastAsia" w:ascii="宋体" w:hAnsi="宋体" w:eastAsia="宋体" w:cs="Times New Roman"/>
          <w:color w:val="auto"/>
          <w:kern w:val="2"/>
          <w:sz w:val="21"/>
          <w:szCs w:val="21"/>
          <w:highlight w:val="none"/>
          <w:lang w:eastAsia="zh-CN"/>
        </w:rPr>
        <w:t xml:space="preserve"> 商务部分评审（商务部分满分分值</w:t>
      </w:r>
      <w:r>
        <w:rPr>
          <w:rFonts w:hint="eastAsia" w:ascii="宋体" w:hAnsi="宋体" w:eastAsia="宋体" w:cs="Times New Roman"/>
          <w:color w:val="auto"/>
          <w:kern w:val="2"/>
          <w:sz w:val="21"/>
          <w:szCs w:val="21"/>
          <w:highlight w:val="none"/>
          <w:lang w:val="en-US" w:eastAsia="zh-CN"/>
        </w:rPr>
        <w:t>10</w:t>
      </w:r>
      <w:r>
        <w:rPr>
          <w:rFonts w:hint="eastAsia" w:ascii="宋体" w:hAnsi="宋体" w:eastAsia="宋体" w:cs="Times New Roman"/>
          <w:color w:val="auto"/>
          <w:kern w:val="2"/>
          <w:sz w:val="21"/>
          <w:szCs w:val="21"/>
          <w:highlight w:val="none"/>
          <w:lang w:eastAsia="zh-CN"/>
        </w:rPr>
        <w:t>0分）</w:t>
      </w:r>
    </w:p>
    <w:p>
      <w:pPr>
        <w:adjustRightInd w:val="0"/>
        <w:snapToGrid w:val="0"/>
        <w:spacing w:after="0" w:line="360" w:lineRule="auto"/>
        <w:ind w:firstLine="420" w:firstLineChars="200"/>
        <w:jc w:val="left"/>
        <w:rPr>
          <w:rFonts w:hint="eastAsia" w:ascii="宋体" w:hAnsi="宋体" w:eastAsia="宋体" w:cs="宋体"/>
          <w:color w:val="auto"/>
          <w:spacing w:val="5"/>
          <w:w w:val="95"/>
          <w:sz w:val="21"/>
          <w:szCs w:val="21"/>
          <w:highlight w:val="none"/>
          <w:lang w:val="en-US" w:eastAsia="zh-CN"/>
        </w:rPr>
      </w:pPr>
      <w:r>
        <w:rPr>
          <w:rFonts w:hint="eastAsia" w:ascii="宋体" w:hAnsi="宋体" w:eastAsia="宋体" w:cs="Times New Roman"/>
          <w:bCs/>
          <w:color w:val="auto"/>
          <w:kern w:val="0"/>
          <w:sz w:val="21"/>
          <w:szCs w:val="21"/>
          <w:highlight w:val="none"/>
          <w:lang w:eastAsia="zh-CN"/>
        </w:rPr>
        <w:t>A4.</w:t>
      </w:r>
      <w:r>
        <w:rPr>
          <w:rFonts w:hint="eastAsia" w:ascii="宋体" w:hAnsi="宋体" w:eastAsia="宋体" w:cs="Times New Roman"/>
          <w:bCs/>
          <w:color w:val="auto"/>
          <w:kern w:val="0"/>
          <w:sz w:val="21"/>
          <w:szCs w:val="21"/>
          <w:highlight w:val="none"/>
          <w:lang w:val="en-US" w:eastAsia="zh-CN"/>
        </w:rPr>
        <w:t>2</w:t>
      </w:r>
      <w:r>
        <w:rPr>
          <w:rFonts w:hint="eastAsia" w:ascii="宋体" w:hAnsi="宋体" w:eastAsia="宋体" w:cs="Times New Roman"/>
          <w:bCs/>
          <w:color w:val="auto"/>
          <w:kern w:val="0"/>
          <w:sz w:val="21"/>
          <w:szCs w:val="21"/>
          <w:highlight w:val="none"/>
          <w:lang w:eastAsia="zh-CN"/>
        </w:rPr>
        <w:t>.</w:t>
      </w:r>
      <w:r>
        <w:rPr>
          <w:rFonts w:ascii="宋体" w:hAnsi="宋体" w:eastAsia="宋体" w:cs="Times New Roman"/>
          <w:bCs/>
          <w:color w:val="auto"/>
          <w:kern w:val="0"/>
          <w:sz w:val="21"/>
          <w:szCs w:val="21"/>
          <w:highlight w:val="none"/>
          <w:lang w:eastAsia="zh-CN"/>
        </w:rPr>
        <w:t>1</w:t>
      </w:r>
      <w:r>
        <w:rPr>
          <w:rFonts w:hint="eastAsia" w:ascii="宋体" w:hAnsi="宋体" w:eastAsia="宋体" w:cs="宋体"/>
          <w:color w:val="auto"/>
          <w:spacing w:val="5"/>
          <w:w w:val="95"/>
          <w:sz w:val="21"/>
          <w:szCs w:val="21"/>
          <w:highlight w:val="none"/>
          <w:lang w:val="en-US" w:eastAsia="zh-CN"/>
        </w:rPr>
        <w:t>评标基准价计算</w:t>
      </w:r>
    </w:p>
    <w:p>
      <w:pPr>
        <w:adjustRightInd w:val="0"/>
        <w:snapToGrid w:val="0"/>
        <w:spacing w:after="0" w:line="360" w:lineRule="auto"/>
        <w:ind w:firstLine="418"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5"/>
          <w:w w:val="95"/>
          <w:sz w:val="21"/>
          <w:szCs w:val="21"/>
          <w:highlight w:val="none"/>
        </w:rPr>
        <w:t>所有通过初步评审的合格投标人的有效投标报价的平均数确定评标基</w:t>
      </w:r>
      <w:r>
        <w:rPr>
          <w:rFonts w:hint="eastAsia" w:ascii="宋体" w:hAnsi="宋体" w:eastAsia="宋体" w:cs="宋体"/>
          <w:color w:val="auto"/>
          <w:sz w:val="21"/>
          <w:szCs w:val="21"/>
          <w:highlight w:val="none"/>
        </w:rPr>
        <w:t>准价，评标基准价分三步计算：</w:t>
      </w:r>
    </w:p>
    <w:p>
      <w:pPr>
        <w:adjustRightInd w:val="0"/>
        <w:snapToGrid w:val="0"/>
        <w:spacing w:after="0" w:line="360" w:lineRule="auto"/>
        <w:ind w:firstLine="406"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2"/>
          <w:w w:val="95"/>
          <w:sz w:val="21"/>
          <w:szCs w:val="21"/>
          <w:highlight w:val="none"/>
        </w:rPr>
        <w:t>（1）将所有合格投标人的有效投标报价按算术平均的方法计算第一次平均价，若投标人的</w:t>
      </w:r>
      <w:r>
        <w:rPr>
          <w:rFonts w:hint="eastAsia" w:ascii="宋体" w:hAnsi="宋体" w:eastAsia="宋体" w:cs="宋体"/>
          <w:color w:val="auto"/>
          <w:spacing w:val="2"/>
          <w:sz w:val="21"/>
          <w:szCs w:val="21"/>
          <w:highlight w:val="none"/>
        </w:rPr>
        <w:t>有效投标报价小于第一次平均价的</w:t>
      </w:r>
      <w:r>
        <w:rPr>
          <w:rFonts w:hint="eastAsia" w:cs="宋体"/>
          <w:color w:val="auto"/>
          <w:spacing w:val="30"/>
          <w:sz w:val="21"/>
          <w:szCs w:val="21"/>
          <w:highlight w:val="none"/>
          <w:u w:val="single"/>
          <w:lang w:val="en-US" w:eastAsia="zh-CN"/>
        </w:rPr>
        <w:t xml:space="preserve">   </w:t>
      </w:r>
      <w:r>
        <w:rPr>
          <w:rFonts w:hint="eastAsia" w:ascii="宋体" w:hAnsi="宋体" w:eastAsia="宋体" w:cs="宋体"/>
          <w:color w:val="auto"/>
          <w:sz w:val="21"/>
          <w:szCs w:val="21"/>
          <w:highlight w:val="none"/>
        </w:rPr>
        <w:t>（由招标人选填：80%或85%或90%）</w:t>
      </w:r>
      <w:r>
        <w:rPr>
          <w:rFonts w:hint="eastAsia" w:ascii="宋体" w:hAnsi="宋体" w:eastAsia="宋体" w:cs="宋体"/>
          <w:color w:val="auto"/>
          <w:sz w:val="21"/>
          <w:szCs w:val="21"/>
          <w:highlight w:val="none"/>
          <w:lang w:val="en-US" w:eastAsia="zh-CN"/>
        </w:rPr>
        <w:t>或大于</w:t>
      </w:r>
      <w:r>
        <w:rPr>
          <w:rFonts w:hint="eastAsia" w:ascii="宋体" w:hAnsi="宋体" w:eastAsia="宋体" w:cs="宋体"/>
          <w:color w:val="auto"/>
          <w:spacing w:val="2"/>
          <w:sz w:val="21"/>
          <w:szCs w:val="21"/>
          <w:highlight w:val="none"/>
        </w:rPr>
        <w:t>第一次平均价的</w:t>
      </w:r>
      <w:r>
        <w:rPr>
          <w:rFonts w:hint="eastAsia" w:cs="宋体"/>
          <w:color w:val="auto"/>
          <w:spacing w:val="30"/>
          <w:sz w:val="21"/>
          <w:szCs w:val="21"/>
          <w:highlight w:val="none"/>
          <w:u w:val="single"/>
          <w:lang w:val="en-US" w:eastAsia="zh-CN"/>
        </w:rPr>
        <w:t xml:space="preserve">   </w:t>
      </w:r>
      <w:r>
        <w:rPr>
          <w:rFonts w:hint="eastAsia" w:ascii="宋体" w:hAnsi="宋体" w:eastAsia="宋体" w:cs="宋体"/>
          <w:color w:val="auto"/>
          <w:sz w:val="21"/>
          <w:szCs w:val="21"/>
          <w:highlight w:val="none"/>
        </w:rPr>
        <w:t>（由招标人选填：</w:t>
      </w:r>
      <w:r>
        <w:rPr>
          <w:rFonts w:hint="eastAsia" w:ascii="宋体" w:hAnsi="宋体" w:eastAsia="宋体" w:cs="宋体"/>
          <w:color w:val="auto"/>
          <w:sz w:val="21"/>
          <w:szCs w:val="21"/>
          <w:highlight w:val="none"/>
          <w:lang w:val="en-US" w:eastAsia="zh-CN"/>
        </w:rPr>
        <w:t>120</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115</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lang w:val="en-US" w:eastAsia="zh-CN"/>
        </w:rPr>
        <w:t>110</w:t>
      </w:r>
      <w:r>
        <w:rPr>
          <w:rFonts w:hint="eastAsia" w:ascii="宋体" w:hAnsi="宋体" w:eastAsia="宋体" w:cs="宋体"/>
          <w:color w:val="auto"/>
          <w:sz w:val="21"/>
          <w:szCs w:val="21"/>
          <w:highlight w:val="none"/>
        </w:rPr>
        <w:t>%）则该投标人的有效投标报价不进入评标基准价计算。</w:t>
      </w:r>
    </w:p>
    <w:p>
      <w:pPr>
        <w:adjustRightInd w:val="0"/>
        <w:snapToGrid w:val="0"/>
        <w:spacing w:after="0" w:line="360" w:lineRule="auto"/>
        <w:ind w:firstLine="398"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（2）剩余有效投标报价小于等于5个时，所有报价进入评标基准价计算；剩余有效投标报价</w:t>
      </w:r>
      <w:r>
        <w:rPr>
          <w:rFonts w:hint="eastAsia" w:ascii="宋体" w:hAnsi="宋体" w:eastAsia="宋体" w:cs="宋体"/>
          <w:color w:val="auto"/>
          <w:sz w:val="21"/>
          <w:szCs w:val="21"/>
          <w:highlight w:val="none"/>
        </w:rPr>
        <w:t>多于5个时，应再去掉1个最高价和1个最低价的报价进入评标基准价计算。</w:t>
      </w:r>
    </w:p>
    <w:p>
      <w:pPr>
        <w:adjustRightInd w:val="0"/>
        <w:snapToGrid w:val="0"/>
        <w:spacing w:after="0" w:line="360" w:lineRule="auto"/>
        <w:ind w:firstLine="398"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lang w:val="en-US" w:eastAsia="zh-CN"/>
        </w:rPr>
        <w:t>3</w:t>
      </w:r>
      <w:r>
        <w:rPr>
          <w:rFonts w:hint="eastAsia" w:ascii="宋体" w:hAnsi="宋体" w:eastAsia="宋体" w:cs="宋体"/>
          <w:color w:val="auto"/>
          <w:w w:val="95"/>
          <w:sz w:val="21"/>
          <w:szCs w:val="21"/>
          <w:highlight w:val="none"/>
        </w:rPr>
        <w:t>）</w:t>
      </w:r>
      <w:r>
        <w:rPr>
          <w:rFonts w:hint="eastAsia" w:ascii="宋体" w:hAnsi="宋体" w:eastAsia="宋体" w:cs="宋体"/>
          <w:color w:val="auto"/>
          <w:spacing w:val="2"/>
          <w:w w:val="95"/>
          <w:sz w:val="21"/>
          <w:szCs w:val="21"/>
          <w:highlight w:val="none"/>
        </w:rPr>
        <w:t>将余下的合格投标人的有效投标报价再次进行计算，得出经评审的最终评标基准价，</w:t>
      </w:r>
      <w:r>
        <w:rPr>
          <w:rFonts w:hint="eastAsia" w:ascii="宋体" w:hAnsi="宋体" w:eastAsia="宋体" w:cs="宋体"/>
          <w:color w:val="auto"/>
          <w:sz w:val="21"/>
          <w:szCs w:val="21"/>
          <w:highlight w:val="none"/>
        </w:rPr>
        <w:t>基准价计算公式：</w:t>
      </w:r>
    </w:p>
    <w:p>
      <w:pPr>
        <w:tabs>
          <w:tab w:val="left" w:pos="4649"/>
        </w:tabs>
        <w:spacing w:before="209" w:line="31" w:lineRule="auto"/>
        <w:ind w:left="3118" w:right="3307" w:firstLine="480" w:firstLineChars="200"/>
        <w:jc w:val="left"/>
        <w:rPr>
          <w:rFonts w:hint="eastAsia" w:ascii="宋体" w:hAnsi="宋体" w:eastAsia="宋体" w:cs="宋体"/>
          <w:color w:val="auto"/>
          <w:sz w:val="24"/>
          <w:szCs w:val="24"/>
          <w:highlight w:val="none"/>
        </w:rPr>
      </w:pPr>
    </w:p>
    <w:p>
      <w:pPr>
        <w:pStyle w:val="9"/>
        <w:tabs>
          <w:tab w:val="left" w:pos="1157"/>
        </w:tabs>
        <w:spacing w:before="34" w:line="379" w:lineRule="auto"/>
        <w:ind w:right="2358"/>
        <w:jc w:val="left"/>
        <w:rPr>
          <w:rFonts w:hint="eastAsia" w:ascii="宋体" w:hAnsi="宋体" w:eastAsia="宋体" w:cs="宋体"/>
          <w:color w:val="auto"/>
          <w:spacing w:val="-1"/>
          <w:w w:val="95"/>
          <w:sz w:val="32"/>
          <w:szCs w:val="32"/>
          <w:highlight w:val="none"/>
          <w:lang w:val="en-US" w:eastAsia="zh-CN"/>
        </w:rPr>
      </w:pPr>
      <w:r>
        <w:rPr>
          <w:rFonts w:hint="eastAsia" w:ascii="宋体" w:hAnsi="宋体" w:eastAsia="宋体" w:cs="宋体"/>
          <w:color w:val="auto"/>
          <w:spacing w:val="-1"/>
          <w:w w:val="95"/>
          <w:sz w:val="32"/>
          <w:szCs w:val="32"/>
          <w:highlight w:val="none"/>
          <w:lang w:val="en-US" w:eastAsia="zh-CN"/>
        </w:rPr>
        <w:t xml:space="preserve">S= </w:t>
      </w:r>
      <m:oMath>
        <m:f>
          <m:fPr>
            <m:ctrlPr>
              <w:rPr>
                <w:rFonts w:hint="eastAsia" w:ascii="Cambria Math" w:hAnsi="Cambria Math" w:eastAsia="宋体" w:cs="宋体"/>
                <w:i/>
                <w:color w:val="auto"/>
                <w:spacing w:val="-1"/>
                <w:w w:val="95"/>
                <w:sz w:val="44"/>
                <w:szCs w:val="32"/>
                <w:highlight w:val="none"/>
                <w:lang w:val="en-US"/>
              </w:rPr>
            </m:ctrlPr>
          </m:fPr>
          <m:num>
            <m:sSub>
              <m:sSubPr>
                <m:ctrlPr>
                  <w:rPr>
                    <w:rFonts w:hint="eastAsia" w:ascii="Cambria Math" w:hAnsi="Cambria Math" w:eastAsia="宋体" w:cs="宋体"/>
                    <w:i/>
                    <w:color w:val="auto"/>
                    <w:spacing w:val="-1"/>
                    <w:w w:val="95"/>
                    <w:sz w:val="44"/>
                    <w:szCs w:val="32"/>
                    <w:highlight w:val="none"/>
                    <w:lang w:val="en-US"/>
                  </w:rPr>
                </m:ctrlPr>
              </m:sSubPr>
              <m:e>
                <m:r>
                  <m:rPr/>
                  <w:rPr>
                    <w:rFonts w:hint="eastAsia" w:ascii="Cambria Math" w:hAnsi="Cambria Math" w:eastAsia="宋体" w:cs="宋体"/>
                    <w:color w:val="auto"/>
                    <w:spacing w:val="-1"/>
                    <w:w w:val="95"/>
                    <w:sz w:val="44"/>
                    <w:szCs w:val="32"/>
                    <w:highlight w:val="none"/>
                    <w:lang w:val="en-US" w:eastAsia="zh-CN"/>
                  </w:rPr>
                  <m:t>a</m:t>
                </m:r>
                <m:ctrlPr>
                  <w:rPr>
                    <w:rFonts w:hint="eastAsia" w:ascii="Cambria Math" w:hAnsi="Cambria Math" w:eastAsia="宋体" w:cs="宋体"/>
                    <w:i/>
                    <w:color w:val="auto"/>
                    <w:spacing w:val="-1"/>
                    <w:w w:val="95"/>
                    <w:sz w:val="44"/>
                    <w:szCs w:val="32"/>
                    <w:highlight w:val="none"/>
                    <w:lang w:val="en-US"/>
                  </w:rPr>
                </m:ctrlPr>
              </m:e>
              <m:sub>
                <m:r>
                  <m:rPr/>
                  <w:rPr>
                    <w:rFonts w:hint="eastAsia" w:ascii="Cambria Math" w:hAnsi="Cambria Math" w:eastAsia="宋体" w:cs="宋体"/>
                    <w:color w:val="auto"/>
                    <w:spacing w:val="-1"/>
                    <w:w w:val="95"/>
                    <w:sz w:val="44"/>
                    <w:szCs w:val="32"/>
                    <w:highlight w:val="none"/>
                    <w:lang w:val="en-US" w:eastAsia="zh-CN"/>
                  </w:rPr>
                  <m:t>1+</m:t>
                </m:r>
                <m:ctrlPr>
                  <w:rPr>
                    <w:rFonts w:hint="eastAsia" w:ascii="Cambria Math" w:hAnsi="Cambria Math" w:eastAsia="宋体" w:cs="宋体"/>
                    <w:i/>
                    <w:color w:val="auto"/>
                    <w:spacing w:val="-1"/>
                    <w:w w:val="95"/>
                    <w:sz w:val="44"/>
                    <w:szCs w:val="32"/>
                    <w:highlight w:val="none"/>
                    <w:lang w:val="en-US"/>
                  </w:rPr>
                </m:ctrlPr>
              </m:sub>
            </m:sSub>
            <m:sSub>
              <m:sSubPr>
                <m:ctrlPr>
                  <w:rPr>
                    <w:rFonts w:hint="eastAsia" w:ascii="Cambria Math" w:hAnsi="Cambria Math" w:eastAsia="宋体" w:cs="宋体"/>
                    <w:i/>
                    <w:color w:val="auto"/>
                    <w:spacing w:val="-1"/>
                    <w:w w:val="95"/>
                    <w:sz w:val="44"/>
                    <w:szCs w:val="32"/>
                    <w:highlight w:val="none"/>
                    <w:lang w:val="en-US"/>
                  </w:rPr>
                </m:ctrlPr>
              </m:sSubPr>
              <m:e>
                <m:r>
                  <m:rPr/>
                  <w:rPr>
                    <w:rFonts w:hint="eastAsia" w:ascii="Cambria Math" w:hAnsi="Cambria Math" w:eastAsia="宋体" w:cs="宋体"/>
                    <w:color w:val="auto"/>
                    <w:spacing w:val="-1"/>
                    <w:w w:val="95"/>
                    <w:sz w:val="44"/>
                    <w:szCs w:val="32"/>
                    <w:highlight w:val="none"/>
                    <w:lang w:val="en-US" w:eastAsia="zh-CN"/>
                  </w:rPr>
                  <m:t>a</m:t>
                </m:r>
                <m:ctrlPr>
                  <w:rPr>
                    <w:rFonts w:hint="eastAsia" w:ascii="Cambria Math" w:hAnsi="Cambria Math" w:eastAsia="宋体" w:cs="宋体"/>
                    <w:i/>
                    <w:color w:val="auto"/>
                    <w:spacing w:val="-1"/>
                    <w:w w:val="95"/>
                    <w:sz w:val="44"/>
                    <w:szCs w:val="32"/>
                    <w:highlight w:val="none"/>
                    <w:lang w:val="en-US"/>
                  </w:rPr>
                </m:ctrlPr>
              </m:e>
              <m:sub>
                <m:r>
                  <m:rPr/>
                  <w:rPr>
                    <w:rFonts w:hint="eastAsia" w:ascii="Cambria Math" w:hAnsi="Cambria Math" w:eastAsia="宋体" w:cs="宋体"/>
                    <w:color w:val="auto"/>
                    <w:spacing w:val="-1"/>
                    <w:w w:val="95"/>
                    <w:sz w:val="44"/>
                    <w:szCs w:val="32"/>
                    <w:highlight w:val="none"/>
                    <w:lang w:val="en-US" w:eastAsia="zh-CN"/>
                  </w:rPr>
                  <m:t xml:space="preserve">2+… </m:t>
                </m:r>
                <m:sSub>
                  <m:sSubPr>
                    <m:ctrlPr>
                      <w:rPr>
                        <w:rFonts w:hint="eastAsia" w:ascii="Cambria Math" w:hAnsi="Cambria Math" w:eastAsia="宋体" w:cs="宋体"/>
                        <w:i/>
                        <w:color w:val="auto"/>
                        <w:spacing w:val="-1"/>
                        <w:w w:val="95"/>
                        <w:sz w:val="44"/>
                        <w:szCs w:val="32"/>
                        <w:highlight w:val="none"/>
                        <w:lang w:val="en-US" w:eastAsia="zh-CN"/>
                      </w:rPr>
                    </m:ctrlPr>
                  </m:sSubPr>
                  <m:e>
                    <m:r>
                      <m:rPr/>
                      <w:rPr>
                        <w:rFonts w:hint="eastAsia" w:ascii="Cambria Math" w:hAnsi="Cambria Math" w:eastAsia="宋体" w:cs="宋体"/>
                        <w:color w:val="auto"/>
                        <w:spacing w:val="-1"/>
                        <w:w w:val="95"/>
                        <w:sz w:val="44"/>
                        <w:szCs w:val="32"/>
                        <w:highlight w:val="none"/>
                        <w:lang w:val="en-US" w:eastAsia="zh-CN"/>
                      </w:rPr>
                      <m:t>a</m:t>
                    </m:r>
                    <m:ctrlPr>
                      <w:rPr>
                        <w:rFonts w:hint="eastAsia" w:ascii="Cambria Math" w:hAnsi="Cambria Math" w:eastAsia="宋体" w:cs="宋体"/>
                        <w:i/>
                        <w:color w:val="auto"/>
                        <w:spacing w:val="-1"/>
                        <w:w w:val="95"/>
                        <w:sz w:val="44"/>
                        <w:szCs w:val="32"/>
                        <w:highlight w:val="none"/>
                        <w:lang w:val="en-US" w:eastAsia="zh-CN"/>
                      </w:rPr>
                    </m:ctrlPr>
                  </m:e>
                  <m:sub>
                    <m:r>
                      <m:rPr/>
                      <w:rPr>
                        <w:rFonts w:hint="eastAsia" w:ascii="Cambria Math" w:hAnsi="Cambria Math" w:eastAsia="宋体" w:cs="宋体"/>
                        <w:color w:val="auto"/>
                        <w:spacing w:val="-1"/>
                        <w:w w:val="95"/>
                        <w:sz w:val="44"/>
                        <w:szCs w:val="32"/>
                        <w:highlight w:val="none"/>
                        <w:lang w:val="en-US" w:eastAsia="zh-CN"/>
                      </w:rPr>
                      <m:t>i</m:t>
                    </m:r>
                    <m:ctrlPr>
                      <w:rPr>
                        <w:rFonts w:hint="eastAsia" w:ascii="Cambria Math" w:hAnsi="Cambria Math" w:eastAsia="宋体" w:cs="宋体"/>
                        <w:i/>
                        <w:color w:val="auto"/>
                        <w:spacing w:val="-1"/>
                        <w:w w:val="95"/>
                        <w:sz w:val="44"/>
                        <w:szCs w:val="32"/>
                        <w:highlight w:val="none"/>
                        <w:lang w:val="en-US" w:eastAsia="zh-CN"/>
                      </w:rPr>
                    </m:ctrlPr>
                  </m:sub>
                </m:sSub>
                <m:r>
                  <m:rPr/>
                  <w:rPr>
                    <w:rFonts w:hint="eastAsia" w:ascii="Cambria Math" w:hAnsi="Cambria Math" w:eastAsia="宋体" w:cs="宋体"/>
                    <w:color w:val="auto"/>
                    <w:spacing w:val="-1"/>
                    <w:w w:val="95"/>
                    <w:sz w:val="44"/>
                    <w:szCs w:val="32"/>
                    <w:highlight w:val="none"/>
                    <w:lang w:val="en-US" w:eastAsia="zh-CN"/>
                  </w:rPr>
                  <m:t xml:space="preserve">  </m:t>
                </m:r>
                <m:ctrlPr>
                  <w:rPr>
                    <w:rFonts w:hint="eastAsia" w:ascii="Cambria Math" w:hAnsi="Cambria Math" w:eastAsia="宋体" w:cs="宋体"/>
                    <w:i/>
                    <w:color w:val="auto"/>
                    <w:spacing w:val="-1"/>
                    <w:w w:val="95"/>
                    <w:sz w:val="44"/>
                    <w:szCs w:val="32"/>
                    <w:highlight w:val="none"/>
                    <w:lang w:val="en-US"/>
                  </w:rPr>
                </m:ctrlPr>
              </m:sub>
            </m:sSub>
            <m:ctrlPr>
              <w:rPr>
                <w:rFonts w:hint="eastAsia" w:ascii="Cambria Math" w:hAnsi="Cambria Math" w:eastAsia="宋体" w:cs="宋体"/>
                <w:i/>
                <w:color w:val="auto"/>
                <w:spacing w:val="-1"/>
                <w:w w:val="95"/>
                <w:sz w:val="44"/>
                <w:szCs w:val="32"/>
                <w:highlight w:val="none"/>
                <w:lang w:val="en-US"/>
              </w:rPr>
            </m:ctrlPr>
          </m:num>
          <m:den>
            <m:r>
              <m:rPr/>
              <w:rPr>
                <w:rFonts w:hint="eastAsia" w:ascii="Cambria Math" w:hAnsi="Cambria Math" w:eastAsia="宋体" w:cs="宋体"/>
                <w:color w:val="auto"/>
                <w:spacing w:val="-1"/>
                <w:w w:val="95"/>
                <w:sz w:val="44"/>
                <w:szCs w:val="32"/>
                <w:highlight w:val="none"/>
                <w:lang w:val="en-US" w:eastAsia="zh-CN"/>
              </w:rPr>
              <m:t>n</m:t>
            </m:r>
            <m:ctrlPr>
              <w:rPr>
                <w:rFonts w:hint="eastAsia" w:ascii="Cambria Math" w:hAnsi="Cambria Math" w:eastAsia="宋体" w:cs="宋体"/>
                <w:i/>
                <w:color w:val="auto"/>
                <w:spacing w:val="-1"/>
                <w:w w:val="95"/>
                <w:sz w:val="44"/>
                <w:szCs w:val="32"/>
                <w:highlight w:val="none"/>
                <w:lang w:val="en-US"/>
              </w:rPr>
            </m:ctrlPr>
          </m:den>
        </m:f>
      </m:oMath>
    </w:p>
    <w:p>
      <w:pPr>
        <w:pStyle w:val="9"/>
        <w:spacing w:before="45" w:line="403" w:lineRule="auto"/>
        <w:ind w:left="108" w:right="109" w:firstLine="398" w:firstLineChars="200"/>
        <w:jc w:val="both"/>
        <w:rPr>
          <w:rFonts w:hint="eastAsia" w:ascii="宋体" w:hAnsi="宋体" w:eastAsia="宋体" w:cs="Times New Roman"/>
          <w:bCs/>
          <w:color w:val="auto"/>
          <w:kern w:val="0"/>
          <w:sz w:val="21"/>
          <w:szCs w:val="21"/>
          <w:highlight w:val="none"/>
          <w:lang w:eastAsia="zh-CN"/>
        </w:rPr>
      </w:pPr>
      <w:r>
        <w:rPr>
          <w:rFonts w:hint="eastAsia" w:cs="宋体"/>
          <w:color w:val="auto"/>
          <w:w w:val="95"/>
          <w:sz w:val="21"/>
          <w:szCs w:val="21"/>
          <w:highlight w:val="none"/>
          <w:lang w:val="en-US" w:eastAsia="zh-CN"/>
        </w:rPr>
        <w:t>公</w:t>
      </w:r>
      <w:r>
        <w:rPr>
          <w:rFonts w:hint="eastAsia" w:ascii="宋体" w:hAnsi="宋体" w:eastAsia="宋体" w:cs="宋体"/>
          <w:color w:val="auto"/>
          <w:w w:val="95"/>
          <w:sz w:val="21"/>
          <w:szCs w:val="21"/>
          <w:highlight w:val="none"/>
        </w:rPr>
        <w:t>式中</w:t>
      </w:r>
      <w:r>
        <w:rPr>
          <w:rFonts w:hint="eastAsia" w:ascii="宋体" w:hAnsi="宋体" w:eastAsia="宋体" w:cs="宋体"/>
          <w:color w:val="auto"/>
          <w:w w:val="95"/>
          <w:sz w:val="21"/>
          <w:szCs w:val="21"/>
          <w:highlight w:val="none"/>
        </w:rPr>
        <w:tab/>
      </w:r>
      <w:r>
        <w:rPr>
          <w:rFonts w:hint="eastAsia" w:ascii="宋体" w:hAnsi="宋体" w:eastAsia="宋体" w:cs="宋体"/>
          <w:color w:val="auto"/>
          <w:w w:val="95"/>
          <w:sz w:val="21"/>
          <w:szCs w:val="21"/>
          <w:highlight w:val="none"/>
        </w:rPr>
        <w:t>S——评标基准价； ai——进入基准价计算的合格投标人的有效报价（i＝1，2，…，n）； n——进入基准价计算的合格投标人有效报价个数。</w:t>
      </w:r>
    </w:p>
    <w:p>
      <w:pPr>
        <w:adjustRightInd w:val="0"/>
        <w:snapToGrid w:val="0"/>
        <w:spacing w:after="0" w:line="360" w:lineRule="auto"/>
        <w:ind w:firstLine="420" w:firstLineChars="200"/>
        <w:jc w:val="left"/>
        <w:rPr>
          <w:rFonts w:ascii="宋体" w:hAnsi="宋体" w:eastAsia="宋体" w:cs="Times New Roman"/>
          <w:bCs/>
          <w:color w:val="auto"/>
          <w:kern w:val="0"/>
          <w:sz w:val="21"/>
          <w:szCs w:val="21"/>
          <w:highlight w:val="none"/>
          <w:lang w:eastAsia="zh-CN"/>
        </w:rPr>
      </w:pPr>
      <w:r>
        <w:rPr>
          <w:rFonts w:ascii="宋体" w:hAnsi="宋体" w:eastAsia="宋体" w:cs="Times New Roman"/>
          <w:bCs/>
          <w:color w:val="auto"/>
          <w:kern w:val="0"/>
          <w:sz w:val="21"/>
          <w:szCs w:val="21"/>
          <w:highlight w:val="none"/>
          <w:lang w:eastAsia="zh-CN"/>
        </w:rPr>
        <w:t>A</w:t>
      </w:r>
      <w:r>
        <w:rPr>
          <w:rFonts w:hint="eastAsia" w:ascii="宋体" w:hAnsi="宋体" w:eastAsia="宋体" w:cs="Times New Roman"/>
          <w:bCs/>
          <w:color w:val="auto"/>
          <w:kern w:val="0"/>
          <w:sz w:val="21"/>
          <w:szCs w:val="21"/>
          <w:highlight w:val="none"/>
          <w:lang w:eastAsia="zh-CN"/>
        </w:rPr>
        <w:t>4</w:t>
      </w:r>
      <w:r>
        <w:rPr>
          <w:rFonts w:ascii="宋体" w:hAnsi="宋体" w:eastAsia="宋体" w:cs="Times New Roman"/>
          <w:bCs/>
          <w:color w:val="auto"/>
          <w:kern w:val="0"/>
          <w:sz w:val="21"/>
          <w:szCs w:val="21"/>
          <w:highlight w:val="none"/>
          <w:lang w:eastAsia="zh-CN"/>
        </w:rPr>
        <w:t>.</w:t>
      </w:r>
      <w:r>
        <w:rPr>
          <w:rFonts w:hint="eastAsia" w:ascii="宋体" w:hAnsi="宋体" w:eastAsia="宋体" w:cs="Times New Roman"/>
          <w:bCs/>
          <w:color w:val="auto"/>
          <w:kern w:val="0"/>
          <w:sz w:val="21"/>
          <w:szCs w:val="21"/>
          <w:highlight w:val="none"/>
          <w:lang w:val="en-US" w:eastAsia="zh-CN"/>
        </w:rPr>
        <w:t>2</w:t>
      </w:r>
      <w:r>
        <w:rPr>
          <w:rFonts w:hint="eastAsia" w:ascii="宋体" w:hAnsi="宋体" w:eastAsia="宋体" w:cs="Times New Roman"/>
          <w:bCs/>
          <w:color w:val="auto"/>
          <w:kern w:val="0"/>
          <w:sz w:val="21"/>
          <w:szCs w:val="21"/>
          <w:highlight w:val="none"/>
          <w:lang w:eastAsia="zh-CN"/>
        </w:rPr>
        <w:t>.</w:t>
      </w:r>
      <w:r>
        <w:rPr>
          <w:rFonts w:hint="eastAsia" w:ascii="宋体" w:hAnsi="宋体" w:eastAsia="宋体" w:cs="Times New Roman"/>
          <w:bCs/>
          <w:color w:val="auto"/>
          <w:kern w:val="0"/>
          <w:sz w:val="21"/>
          <w:szCs w:val="21"/>
          <w:highlight w:val="none"/>
          <w:lang w:val="en-US" w:eastAsia="zh-CN"/>
        </w:rPr>
        <w:t>2</w:t>
      </w:r>
      <w:r>
        <w:rPr>
          <w:rFonts w:hint="eastAsia" w:ascii="宋体" w:hAnsi="宋体" w:eastAsia="宋体" w:cs="Times New Roman"/>
          <w:bCs/>
          <w:color w:val="auto"/>
          <w:kern w:val="0"/>
          <w:sz w:val="21"/>
          <w:szCs w:val="21"/>
          <w:highlight w:val="none"/>
          <w:lang w:eastAsia="zh-CN"/>
        </w:rPr>
        <w:t>商务部分评标标准</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08"/>
        <w:gridCol w:w="5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exact"/>
        </w:trPr>
        <w:tc>
          <w:tcPr>
            <w:tcW w:w="1889" w:type="pct"/>
            <w:vAlign w:val="center"/>
          </w:tcPr>
          <w:p>
            <w:pPr>
              <w:keepNext/>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偏差率（X）</w:t>
            </w:r>
          </w:p>
        </w:tc>
        <w:tc>
          <w:tcPr>
            <w:tcW w:w="3110" w:type="pct"/>
            <w:vAlign w:val="center"/>
          </w:tcPr>
          <w:p>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X=（投标人报价-评标基准价）÷评标基准价×100％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9" w:hRule="exact"/>
        </w:trPr>
        <w:tc>
          <w:tcPr>
            <w:tcW w:w="1889" w:type="pct"/>
            <w:vAlign w:val="center"/>
          </w:tcPr>
          <w:p>
            <w:pPr>
              <w:keepNext/>
              <w:keepLines w:val="0"/>
              <w:pageBreakBefore w:val="0"/>
              <w:widowControl w:val="0"/>
              <w:kinsoku/>
              <w:wordWrap/>
              <w:overflowPunct/>
              <w:topLinePunct/>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投标报价总价评分标准（</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3110" w:type="pct"/>
            <w:vAlign w:val="center"/>
          </w:tcPr>
          <w:p>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偏差率大于0：偏差率从0开始每递升1％减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分（分值：</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偏差率等于0：报价分为</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p>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偏差率小于0：偏差率从0开始每降1％减</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分计算（分值：</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keepNext/>
              <w:keepLines w:val="0"/>
              <w:pageBreakBefore w:val="0"/>
              <w:widowControl w:val="0"/>
              <w:kinsoku/>
              <w:wordWrap/>
              <w:overflowPunct/>
              <w:topLinePunct/>
              <w:autoSpaceDE/>
              <w:autoSpaceDN/>
              <w:bidi w:val="0"/>
              <w:adjustRightInd/>
              <w:snapToGrid/>
              <w:spacing w:line="360" w:lineRule="auto"/>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（偏差率不足1%的，按内插法取值）</w:t>
            </w:r>
          </w:p>
        </w:tc>
      </w:tr>
    </w:tbl>
    <w:p>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A4.2.</w:t>
      </w:r>
      <w:r>
        <w:rPr>
          <w:rFonts w:hint="eastAsia" w:ascii="宋体" w:hAnsi="宋体" w:eastAsia="宋体" w:cs="Times New Roman"/>
          <w:bCs/>
          <w:color w:val="auto"/>
          <w:kern w:val="2"/>
          <w:sz w:val="21"/>
          <w:szCs w:val="21"/>
          <w:highlight w:val="none"/>
          <w:lang w:val="en-US" w:eastAsia="zh-CN"/>
        </w:rPr>
        <w:t>3</w:t>
      </w:r>
      <w:r>
        <w:rPr>
          <w:rFonts w:hint="eastAsia" w:ascii="宋体" w:hAnsi="宋体" w:eastAsia="宋体" w:cs="Times New Roman"/>
          <w:bCs/>
          <w:color w:val="auto"/>
          <w:kern w:val="2"/>
          <w:sz w:val="21"/>
          <w:szCs w:val="21"/>
          <w:highlight w:val="none"/>
          <w:lang w:eastAsia="zh-CN"/>
        </w:rPr>
        <w:t xml:space="preserve">  评分要求和统计分数原则</w:t>
      </w:r>
    </w:p>
    <w:p>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1、评标委员会技术组评委应首先对各投标人投标书进行评审，并按招标文件规定分值评分。</w:t>
      </w:r>
    </w:p>
    <w:p>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2、技术部分评分中，各评委应自主评分并签字确认。</w:t>
      </w:r>
    </w:p>
    <w:p>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3、统计分数原则：当评委有效评分时，计算算术平均分值为投标人的技术部分得分（保留小数点后两位）。</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A4.3澄清、说明或补正</w:t>
      </w:r>
    </w:p>
    <w:p>
      <w:pPr>
        <w:adjustRightInd w:val="0"/>
        <w:snapToGrid w:val="0"/>
        <w:spacing w:after="0" w:line="360" w:lineRule="auto"/>
        <w:ind w:firstLine="420" w:firstLineChars="20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在详细评审过程中，评标委员会应当就投标文件中不明确的内容要求投标人进行澄清、说明或者补正。投标人对此以书面形式予以澄清、说明或者补正。澄清、说明或补正根据本章第3.3款的规定执行。</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A4.4汇总评分结果</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A4.4.1评标委员会成员应填写详细评审评分汇总表。</w:t>
      </w:r>
    </w:p>
    <w:p>
      <w:pPr>
        <w:adjustRightInd w:val="0"/>
        <w:snapToGrid w:val="0"/>
        <w:spacing w:after="0" w:line="360" w:lineRule="auto"/>
        <w:ind w:firstLine="420" w:firstLineChars="200"/>
        <w:rPr>
          <w:rFonts w:ascii="宋体" w:hAnsi="宋体" w:eastAsia="宋体" w:cs="Times New Roman"/>
          <w:color w:val="auto"/>
          <w:spacing w:val="12"/>
          <w:kern w:val="2"/>
          <w:sz w:val="21"/>
          <w:szCs w:val="20"/>
          <w:highlight w:val="none"/>
          <w:lang w:eastAsia="zh-CN"/>
        </w:rPr>
      </w:pPr>
      <w:r>
        <w:rPr>
          <w:rFonts w:hint="eastAsia" w:ascii="宋体" w:hAnsi="宋体" w:eastAsia="宋体" w:cs="Times New Roman"/>
          <w:color w:val="auto"/>
          <w:kern w:val="2"/>
          <w:sz w:val="21"/>
          <w:szCs w:val="21"/>
          <w:highlight w:val="none"/>
          <w:lang w:eastAsia="zh-CN"/>
        </w:rPr>
        <w:t>A4.4.2详细评审工作全部结束后，汇总各个评标委员会成员的详细评审评分结果，并按照详细评审最终得分由高至低的次序对投标人进行排序。</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A5.推荐中标候选人或者直接确定中标人</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A5.1推荐中标候选人</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除第二章“投标人须知”前附表第7.1款授权直接确定中标人外，评标委员会在推荐中标候选人时，应遵照以下原则：</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(1)评标委员会按照最终得分由高至低的次序排列，并根据第二章“投标人须知”前附表第7.1款规定的中标候选人数量，将排序在前的投标人推荐为中标候选人。</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如果评标委员会根据本章的规定作废标处理后，有效投标不足三个，且少于第二章“投标人须知”前附表第7.1款规定的中标候选人数量的，则评标委员会可以将所有有效投标进行综合评议向招标人推荐中标候选人。如果因有效投标不足三个使得投标明显缺乏竞争的，评标委员会可以建议招标人重新招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A5.2直接确定中标人</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第二章“投标人须知”前附表授权评标委员会直接确定中标人的，评标委员会按照最终得分由高至低的次序排列，并确定排名第一的投标人为中标人。</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ascii="宋体" w:hAnsi="宋体" w:eastAsia="宋体" w:cs="Times New Roman"/>
          <w:color w:val="auto"/>
          <w:kern w:val="0"/>
          <w:sz w:val="21"/>
          <w:szCs w:val="20"/>
          <w:highlight w:val="none"/>
          <w:lang w:eastAsia="zh-CN"/>
        </w:rPr>
        <w:t>A5</w:t>
      </w:r>
      <w:r>
        <w:rPr>
          <w:rFonts w:hint="eastAsia" w:ascii="宋体" w:hAnsi="宋体" w:eastAsia="宋体" w:cs="Times New Roman"/>
          <w:color w:val="auto"/>
          <w:kern w:val="0"/>
          <w:sz w:val="21"/>
          <w:szCs w:val="20"/>
          <w:highlight w:val="none"/>
          <w:lang w:eastAsia="zh-CN"/>
        </w:rPr>
        <w:t>.</w:t>
      </w:r>
      <w:r>
        <w:rPr>
          <w:rFonts w:ascii="宋体" w:hAnsi="宋体" w:eastAsia="宋体" w:cs="Times New Roman"/>
          <w:color w:val="auto"/>
          <w:kern w:val="0"/>
          <w:sz w:val="21"/>
          <w:szCs w:val="20"/>
          <w:highlight w:val="none"/>
          <w:lang w:eastAsia="zh-CN"/>
        </w:rPr>
        <w:t>3编制评标报告</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评标委员会根据本章第3.4.2项的规定向招标人提交评标报告。评标报告应当由全体评标委员会成员签字，并于评标结束时抄送有关行政监督部门。</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A6．特殊情况的处置程序</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A6.1关于评标活动暂停</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A6.1.1评标委员会应当执行连续评标的原则，按评标办法中规定的程序、内容、方法、标准完成全部评标工作。只有发生不可抗力导致评标工作无法继续时，评标活动方可暂停。</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A6.1.2发生评标暂停情况时，评标委员会应当封存全部投标文件和评标记录，待不可抗力的影响结束且具备继续评标的条件时，由原评标委员会继续评标。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A6.2关于评标中途更换评委</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A6.2.1除非发生下列情况之一，评标委员会成员不得在评标中途更换：</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(1)因不可抗拒的客观原因，不能到场或需在评标中途退出评标活动。</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(2)根据法律法规规定，某个或某几个评标委员会成员需要回避。</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A6.2.2退出评标的评标委员会成员，其已完成的评标行为无效。由招标人根据本招标文件规定的评标委员会成员生产方式另行确定替代者进行评标。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A6.3记名投票</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在任何评标环节中，需评标委员会就某项定性的评审结论做出表决的，由评标委员会全体成员按照少数服从多数的原则，以记名投票方式表决。</w:t>
      </w:r>
    </w:p>
    <w:p>
      <w:pPr>
        <w:adjustRightInd w:val="0"/>
        <w:snapToGrid w:val="0"/>
        <w:spacing w:after="0" w:line="24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bookmarkEnd w:id="176"/>
    <w:p>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177" w:name="技术标评审简单1"/>
      <w:bookmarkEnd w:id="177"/>
      <w:bookmarkStart w:id="178" w:name="_Toc3244"/>
      <w:bookmarkStart w:id="179" w:name="_Toc4034"/>
      <w:bookmarkStart w:id="180" w:name="_Toc27682"/>
      <w:r>
        <w:rPr>
          <w:rFonts w:hint="eastAsia" w:ascii="宋体" w:hAnsi="宋体" w:eastAsia="宋体" w:cs="Times New Roman"/>
          <w:color w:val="auto"/>
          <w:kern w:val="0"/>
          <w:sz w:val="28"/>
          <w:szCs w:val="20"/>
          <w:highlight w:val="none"/>
          <w:lang w:eastAsia="zh-CN"/>
        </w:rPr>
        <w:t>附件B：否决投标条款</w:t>
      </w:r>
      <w:bookmarkEnd w:id="178"/>
      <w:bookmarkEnd w:id="179"/>
      <w:bookmarkEnd w:id="180"/>
    </w:p>
    <w:p>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否决投标条款</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B0.总  则</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本附件所集中列示的否决投标条款，是本章“评标办法”的组成部分，是对第二章“投标人须知”和本章正文部分所规定的否决投标条款的总结和补充，如果出现相互矛盾的情况，以本节的规定为准。</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B1.否决投标条款</w:t>
      </w:r>
    </w:p>
    <w:p>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投标人或投标文件有下列情形之一的，其投标作否决投标处理：</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B1.1有串通投标或弄虚作假或有其他违法行为的。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B1.2不按评标委员会要求澄清、说明或补正的。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B1.3在形式评审、资格评审、响应性评审中，评标委员会认定投标人的投标文件不符合评标办法前附表中规定的任何一项评审标准的。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B1.4已标价的工程量清单（投标函除外）未签字盖章。</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B1.5评标委员会认定投标人以低于成本报价竞标的或者高于招标文件设定的最高投标限价的。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B1.6投标文件没有对招标文件提出的实质性要求和条件做出响应的。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B1.7明显不符合招标文件规定的技术标准的。</w:t>
      </w:r>
    </w:p>
    <w:p>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B1.8投标人不符合国家或者招标文件规定的资格条件的。</w:t>
      </w:r>
    </w:p>
    <w:p>
      <w:pPr>
        <w:spacing w:after="0" w:line="360" w:lineRule="auto"/>
        <w:ind w:firstLine="420" w:firstLineChars="200"/>
        <w:rPr>
          <w:rFonts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21"/>
          <w:szCs w:val="20"/>
          <w:highlight w:val="none"/>
          <w:lang w:eastAsia="zh-CN"/>
        </w:rPr>
        <w:t>B1.9投标人不按第二章第3.4.1项要求提交投标保证金的。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B1.10未加盖单位章或无法定代表人或法定代表人授权的代理人签字（章）的。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B1.11 投标文件载明的招标项目完成期限超过招标文件规定的期限。</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B1.12未按规定的格式填写,内容不全或关键内容字迹模糊、无法辨认的,或无法区分正副本。</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B1.13投标人工程量清单报价存在有漏项、缺项，且在投标文件中没有明确的阐述和承诺的。</w:t>
      </w:r>
    </w:p>
    <w:p>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B1.14 投标文件无质量承诺或质量承诺不满足招标文件的。</w:t>
      </w:r>
    </w:p>
    <w:p>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B1.15投标人递交两份或多份内容不同的投标文件，或在一份投标文件中对同一招标项目报有两个或多个报价，且未声明哪一个有效（按招标文件规定提交备选投标方案的除外）；</w:t>
      </w:r>
    </w:p>
    <w:p>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0"/>
          <w:highlight w:val="none"/>
          <w:lang w:eastAsia="zh-CN"/>
        </w:rPr>
        <w:t>B1.16工程量清单报价中工程项目总价表中的单项工程费金额与相对应的单项工程费汇总表中</w:t>
      </w:r>
      <w:r>
        <w:rPr>
          <w:rFonts w:hint="eastAsia" w:ascii="宋体" w:hAnsi="宋体" w:eastAsia="宋体" w:cs="Times New Roman"/>
          <w:bCs/>
          <w:color w:val="auto"/>
          <w:kern w:val="2"/>
          <w:sz w:val="21"/>
          <w:szCs w:val="21"/>
          <w:highlight w:val="none"/>
          <w:lang w:eastAsia="zh-CN"/>
        </w:rPr>
        <w:t>合计金额不一致的，或单项工程费汇总表中的单位工程费金额与相对应的单位工程费汇总表中的合计金额不一致，或单位工程费汇总表中的各项清单计价合计（税金除外）与相对应的清单计价表中的合计金额不一致的（因四舍五入引起的计算误差可以视为细微偏差）。</w:t>
      </w:r>
    </w:p>
    <w:p>
      <w:pPr>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br w:type="page"/>
      </w:r>
    </w:p>
    <w:p>
      <w:pPr>
        <w:pStyle w:val="2"/>
        <w:keepNext/>
        <w:keepLines/>
        <w:widowControl/>
        <w:spacing w:after="0" w:line="240" w:lineRule="auto"/>
        <w:ind w:left="0" w:firstLine="0" w:firstLineChars="0"/>
        <w:jc w:val="center"/>
        <w:outlineLvl w:val="1"/>
        <w:rPr>
          <w:rFonts w:ascii="宋体" w:hAnsi="宋体" w:eastAsia="宋体" w:cs="Times New Roman"/>
          <w:bCs w:val="0"/>
          <w:color w:val="auto"/>
          <w:kern w:val="0"/>
          <w:sz w:val="28"/>
          <w:szCs w:val="20"/>
          <w:highlight w:val="none"/>
          <w:lang w:eastAsia="zh-CN"/>
        </w:rPr>
      </w:pPr>
      <w:bookmarkStart w:id="181" w:name="_Toc18879"/>
      <w:r>
        <w:rPr>
          <w:rFonts w:ascii="宋体" w:hAnsi="宋体" w:eastAsia="宋体" w:cs="Times New Roman"/>
          <w:bCs w:val="0"/>
          <w:color w:val="auto"/>
          <w:kern w:val="0"/>
          <w:sz w:val="28"/>
          <w:szCs w:val="20"/>
          <w:highlight w:val="none"/>
          <w:lang w:eastAsia="zh-CN"/>
        </w:rPr>
        <w:t>评标办法前附表</w:t>
      </w:r>
      <w:r>
        <w:rPr>
          <w:rFonts w:hint="eastAsia" w:ascii="宋体" w:hAnsi="宋体" w:eastAsia="宋体" w:cs="Times New Roman"/>
          <w:bCs w:val="0"/>
          <w:color w:val="auto"/>
          <w:kern w:val="0"/>
          <w:sz w:val="28"/>
          <w:szCs w:val="20"/>
          <w:highlight w:val="none"/>
          <w:lang w:eastAsia="zh-CN"/>
        </w:rPr>
        <w:t>（</w:t>
      </w:r>
      <w:r>
        <w:rPr>
          <w:rFonts w:hint="eastAsia" w:ascii="宋体" w:hAnsi="宋体" w:eastAsia="宋体" w:cs="Times New Roman"/>
          <w:bCs w:val="0"/>
          <w:color w:val="auto"/>
          <w:kern w:val="0"/>
          <w:sz w:val="28"/>
          <w:szCs w:val="20"/>
          <w:highlight w:val="none"/>
          <w:lang w:val="en-US" w:eastAsia="zh-CN"/>
        </w:rPr>
        <w:t>适用于最低投标价法</w:t>
      </w:r>
      <w:r>
        <w:rPr>
          <w:rFonts w:hint="eastAsia" w:ascii="宋体" w:hAnsi="宋体" w:eastAsia="宋体" w:cs="Times New Roman"/>
          <w:bCs w:val="0"/>
          <w:color w:val="auto"/>
          <w:kern w:val="0"/>
          <w:sz w:val="28"/>
          <w:szCs w:val="20"/>
          <w:highlight w:val="none"/>
          <w:lang w:eastAsia="zh-CN"/>
        </w:rPr>
        <w:t>）</w:t>
      </w:r>
      <w:bookmarkEnd w:id="181"/>
    </w:p>
    <w:tbl>
      <w:tblPr>
        <w:tblStyle w:val="19"/>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8"/>
        <w:gridCol w:w="275"/>
        <w:gridCol w:w="2138"/>
        <w:gridCol w:w="1277"/>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973" w:type="dxa"/>
            <w:gridSpan w:val="3"/>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条款号</w:t>
            </w: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评审因素</w:t>
            </w:r>
          </w:p>
        </w:tc>
        <w:tc>
          <w:tcPr>
            <w:tcW w:w="5387" w:type="dxa"/>
            <w:gridSpan w:val="2"/>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2.1.1</w:t>
            </w:r>
          </w:p>
        </w:tc>
        <w:tc>
          <w:tcPr>
            <w:tcW w:w="1123" w:type="dxa"/>
            <w:gridSpan w:val="2"/>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形式评审标准</w:t>
            </w: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投标人名称</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与投标报名、营业执照、资质证书、安全生产许可证一致</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w:t>
            </w:r>
            <w:r>
              <w:rPr>
                <w:rFonts w:hint="eastAsia" w:ascii="宋体" w:hAnsi="宋体" w:eastAsia="宋体" w:cs="Times New Roman"/>
                <w:color w:val="auto"/>
                <w:kern w:val="2"/>
                <w:sz w:val="21"/>
                <w:szCs w:val="21"/>
                <w:highlight w:val="none"/>
                <w:lang w:eastAsia="zh-CN"/>
              </w:rPr>
              <w:t>文件</w:t>
            </w:r>
            <w:r>
              <w:rPr>
                <w:rFonts w:ascii="宋体" w:hAnsi="宋体" w:eastAsia="宋体" w:cs="Times New Roman"/>
                <w:color w:val="auto"/>
                <w:kern w:val="2"/>
                <w:sz w:val="21"/>
                <w:szCs w:val="21"/>
                <w:highlight w:val="none"/>
                <w:lang w:eastAsia="zh-CN"/>
              </w:rPr>
              <w:t>签字盖章</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按招标文件规定签字盖章。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投标文件格式</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w:t>
            </w:r>
            <w:r>
              <w:rPr>
                <w:rFonts w:hint="eastAsia" w:ascii="宋体" w:hAnsi="宋体" w:eastAsia="宋体" w:cs="Times New Roman"/>
                <w:color w:val="auto"/>
                <w:kern w:val="2"/>
                <w:sz w:val="21"/>
                <w:szCs w:val="21"/>
                <w:highlight w:val="none"/>
                <w:lang w:eastAsia="zh-CN"/>
              </w:rPr>
              <w:t>八</w:t>
            </w:r>
            <w:r>
              <w:rPr>
                <w:rFonts w:ascii="宋体" w:hAnsi="宋体" w:eastAsia="宋体" w:cs="Times New Roman"/>
                <w:color w:val="auto"/>
                <w:kern w:val="2"/>
                <w:sz w:val="21"/>
                <w:szCs w:val="21"/>
                <w:highlight w:val="none"/>
                <w:lang w:eastAsia="zh-CN"/>
              </w:rPr>
              <w:t>章“投标文件格式”的要求</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报价唯一</w:t>
            </w:r>
          </w:p>
        </w:tc>
        <w:tc>
          <w:tcPr>
            <w:tcW w:w="5387" w:type="dxa"/>
            <w:gridSpan w:val="2"/>
            <w:noWrap w:val="0"/>
            <w:vAlign w:val="center"/>
          </w:tcPr>
          <w:p>
            <w:pPr>
              <w:spacing w:after="0" w:line="440" w:lineRule="exact"/>
              <w:ind w:firstLine="0" w:firstLineChars="0"/>
              <w:rPr>
                <w:rFonts w:hint="eastAsia"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只有一个有效报价</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shd w:val="clear" w:color="auto" w:fill="auto"/>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2"/>
                <w:szCs w:val="22"/>
                <w:highlight w:val="none"/>
                <w:lang w:val="en-US" w:eastAsia="zh-CN" w:bidi="ar-SA"/>
              </w:rPr>
            </w:pPr>
            <w:r>
              <w:rPr>
                <w:rFonts w:ascii="宋体" w:hAnsi="宋体" w:eastAsia="宋体" w:cs="Times New Roman"/>
                <w:color w:val="auto"/>
                <w:kern w:val="2"/>
                <w:sz w:val="22"/>
                <w:szCs w:val="22"/>
                <w:highlight w:val="none"/>
                <w:lang w:eastAsia="zh-CN"/>
              </w:rPr>
              <w:t>2.1.2</w:t>
            </w:r>
          </w:p>
        </w:tc>
        <w:tc>
          <w:tcPr>
            <w:tcW w:w="1123" w:type="dxa"/>
            <w:gridSpan w:val="2"/>
            <w:vMerge w:val="restart"/>
            <w:shd w:val="clear" w:color="auto" w:fill="auto"/>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val="en-US" w:eastAsia="zh-CN" w:bidi="ar-SA"/>
              </w:rPr>
            </w:pPr>
            <w:r>
              <w:rPr>
                <w:rFonts w:ascii="宋体" w:hAnsi="宋体" w:eastAsia="宋体" w:cs="Times New Roman"/>
                <w:color w:val="auto"/>
                <w:kern w:val="2"/>
                <w:sz w:val="21"/>
                <w:szCs w:val="21"/>
                <w:highlight w:val="none"/>
                <w:lang w:eastAsia="zh-CN"/>
              </w:rPr>
              <w:t>资格评审标准</w:t>
            </w:r>
          </w:p>
        </w:tc>
        <w:tc>
          <w:tcPr>
            <w:tcW w:w="2138" w:type="dxa"/>
            <w:noWrap w:val="0"/>
            <w:vAlign w:val="center"/>
          </w:tcPr>
          <w:p>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资质条件</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财务要求</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val="en-US" w:eastAsia="zh-CN"/>
              </w:rPr>
              <w:t>信誉要求</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项目负责人</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eastAsia="zh-CN"/>
              </w:rPr>
              <w:t>联合体</w:t>
            </w:r>
            <w:r>
              <w:rPr>
                <w:rFonts w:hint="eastAsia" w:ascii="宋体" w:hAnsi="宋体" w:eastAsia="宋体" w:cs="Times New Roman"/>
                <w:color w:val="auto"/>
                <w:kern w:val="2"/>
                <w:sz w:val="21"/>
                <w:szCs w:val="21"/>
                <w:highlight w:val="none"/>
                <w:lang w:val="en-US" w:eastAsia="zh-CN"/>
              </w:rPr>
              <w:t>投标</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符合第二章“投标人须知”第1.4.</w:t>
            </w:r>
            <w:r>
              <w:rPr>
                <w:rFonts w:hint="eastAsia" w:ascii="宋体" w:hAnsi="宋体" w:eastAsia="宋体" w:cs="Times New Roman"/>
                <w:color w:val="auto"/>
                <w:kern w:val="2"/>
                <w:sz w:val="21"/>
                <w:szCs w:val="21"/>
                <w:highlight w:val="none"/>
                <w:lang w:eastAsia="zh-CN"/>
              </w:rPr>
              <w:t>1</w:t>
            </w:r>
            <w:r>
              <w:rPr>
                <w:rFonts w:ascii="宋体" w:hAnsi="宋体" w:eastAsia="宋体" w:cs="Times New Roman"/>
                <w:color w:val="auto"/>
                <w:kern w:val="2"/>
                <w:sz w:val="21"/>
                <w:szCs w:val="21"/>
                <w:highlight w:val="none"/>
                <w:lang w:eastAsia="zh-CN"/>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rPr>
            </w:pPr>
            <w:r>
              <w:rPr>
                <w:rFonts w:ascii="宋体" w:hAnsi="宋体" w:eastAsia="宋体" w:cs="Times New Roman"/>
                <w:color w:val="auto"/>
                <w:kern w:val="2"/>
                <w:sz w:val="21"/>
                <w:szCs w:val="21"/>
                <w:highlight w:val="none"/>
                <w:lang w:eastAsia="zh-CN"/>
              </w:rPr>
              <w:t>投标真实有效</w:t>
            </w:r>
          </w:p>
        </w:tc>
        <w:tc>
          <w:tcPr>
            <w:tcW w:w="5387" w:type="dxa"/>
            <w:gridSpan w:val="2"/>
            <w:shd w:val="clear" w:color="auto" w:fill="auto"/>
            <w:noWrap w:val="0"/>
            <w:vAlign w:val="center"/>
          </w:tcPr>
          <w:p>
            <w:pPr>
              <w:spacing w:after="0" w:line="440" w:lineRule="exact"/>
              <w:ind w:firstLine="0" w:firstLineChars="0"/>
              <w:rPr>
                <w:rFonts w:hint="default" w:ascii="宋体" w:hAnsi="宋体" w:eastAsia="宋体" w:cs="Times New Roman"/>
                <w:color w:val="auto"/>
                <w:kern w:val="2"/>
                <w:sz w:val="21"/>
                <w:szCs w:val="21"/>
                <w:highlight w:val="none"/>
                <w:lang w:val="en-US" w:eastAsia="zh-CN"/>
              </w:rPr>
            </w:pPr>
            <w:r>
              <w:rPr>
                <w:rFonts w:ascii="宋体" w:hAnsi="宋体" w:eastAsia="宋体" w:cs="Times New Roman"/>
                <w:color w:val="auto"/>
                <w:kern w:val="2"/>
                <w:sz w:val="21"/>
                <w:szCs w:val="21"/>
                <w:highlight w:val="none"/>
                <w:lang w:eastAsia="zh-CN"/>
              </w:rPr>
              <w:t>未发现投标人以他人名义投标、串通投标、以行贿手段谋取中标或者以其他弄虚作假方式投标</w:t>
            </w:r>
            <w:r>
              <w:rPr>
                <w:rFonts w:hint="eastAsia" w:ascii="宋体" w:hAnsi="宋体" w:eastAsia="宋体" w:cs="Times New Roman"/>
                <w:color w:val="auto"/>
                <w:kern w:val="2"/>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default" w:ascii="宋体" w:hAnsi="宋体" w:eastAsia="宋体" w:cs="Times New Roman"/>
                <w:color w:val="auto"/>
                <w:kern w:val="2"/>
                <w:sz w:val="21"/>
                <w:szCs w:val="21"/>
                <w:highlight w:val="none"/>
                <w:lang w:val="en-US" w:eastAsia="zh-CN"/>
              </w:rPr>
            </w:pPr>
            <w:r>
              <w:rPr>
                <w:rFonts w:hint="eastAsia" w:ascii="宋体" w:hAnsi="宋体" w:eastAsia="宋体" w:cs="Times New Roman"/>
                <w:color w:val="auto"/>
                <w:kern w:val="2"/>
                <w:sz w:val="21"/>
                <w:szCs w:val="21"/>
                <w:highlight w:val="none"/>
                <w:lang w:val="en-US" w:eastAsia="zh-CN"/>
              </w:rPr>
              <w:t>网络安全</w:t>
            </w:r>
          </w:p>
        </w:tc>
        <w:tc>
          <w:tcPr>
            <w:tcW w:w="5387" w:type="dxa"/>
            <w:gridSpan w:val="2"/>
            <w:shd w:val="clear" w:color="auto" w:fill="auto"/>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重大技术装备不得在境外远程操控,在中国境内运营中收集和产生的个人信息和重要数据应当在境内存储。对于不符合《网络安全法》《数据安全法》《个人信息保护法》等有关国家安全法律法规的,经评标委员会认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2.1.3</w:t>
            </w:r>
          </w:p>
        </w:tc>
        <w:tc>
          <w:tcPr>
            <w:tcW w:w="1123" w:type="dxa"/>
            <w:gridSpan w:val="2"/>
            <w:vMerge w:val="restart"/>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响应性评审标准</w:t>
            </w: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工期</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投标文件载明的招标项目完成期限没有超过招标文件规定的期限。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质量标准</w:t>
            </w:r>
          </w:p>
        </w:tc>
        <w:tc>
          <w:tcPr>
            <w:tcW w:w="5387" w:type="dxa"/>
            <w:gridSpan w:val="2"/>
            <w:noWrap w:val="0"/>
            <w:vAlign w:val="center"/>
          </w:tcPr>
          <w:p>
            <w:pPr>
              <w:spacing w:after="0" w:line="440" w:lineRule="exact"/>
              <w:ind w:firstLine="0" w:firstLineChars="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投标文件有质量标准承诺且承诺满足招标文件要求。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投标有效期</w:t>
            </w:r>
          </w:p>
        </w:tc>
        <w:tc>
          <w:tcPr>
            <w:tcW w:w="5387" w:type="dxa"/>
            <w:gridSpan w:val="2"/>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投标保证金</w:t>
            </w:r>
          </w:p>
        </w:tc>
        <w:tc>
          <w:tcPr>
            <w:tcW w:w="5387" w:type="dxa"/>
            <w:gridSpan w:val="2"/>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投标报价</w:t>
            </w:r>
          </w:p>
        </w:tc>
        <w:tc>
          <w:tcPr>
            <w:tcW w:w="5387" w:type="dxa"/>
            <w:gridSpan w:val="2"/>
            <w:shd w:val="clear" w:color="auto" w:fill="auto"/>
            <w:noWrap w:val="0"/>
            <w:vAlign w:val="center"/>
          </w:tcPr>
          <w:p>
            <w:pPr>
              <w:spacing w:after="0" w:line="440" w:lineRule="exact"/>
              <w:ind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各项投标报价未超过招标控制价公布（或限价）的对应价格，按照招标文件报价要求的规定进行报价。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adjustRightInd w:val="0"/>
              <w:snapToGrid w:val="0"/>
              <w:spacing w:line="360" w:lineRule="auto"/>
              <w:ind w:left="0" w:leftChars="0" w:firstLine="0" w:firstLineChars="0"/>
              <w:jc w:val="center"/>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暂估价、暂列金</w:t>
            </w:r>
          </w:p>
        </w:tc>
        <w:tc>
          <w:tcPr>
            <w:tcW w:w="5387" w:type="dxa"/>
            <w:gridSpan w:val="2"/>
            <w:shd w:val="clear" w:color="auto" w:fill="auto"/>
            <w:noWrap w:val="0"/>
            <w:vAlign w:val="center"/>
          </w:tcPr>
          <w:p>
            <w:pPr>
              <w:adjustRightInd w:val="0"/>
              <w:snapToGrid w:val="0"/>
              <w:spacing w:line="360" w:lineRule="auto"/>
              <w:ind w:left="0" w:leftChars="0" w:firstLine="0" w:firstLineChars="0"/>
              <w:rPr>
                <w:rFonts w:hint="eastAsia" w:ascii="宋体" w:hAnsi="宋体" w:eastAsia="方正仿宋_GBK" w:cstheme="minorBidi"/>
                <w:color w:val="auto"/>
                <w:kern w:val="0"/>
                <w:sz w:val="32"/>
                <w:szCs w:val="21"/>
                <w:highlight w:val="none"/>
                <w:lang w:val="en-US" w:eastAsia="zh-CN" w:bidi="ar-SA"/>
              </w:rPr>
            </w:pPr>
            <w:r>
              <w:rPr>
                <w:rFonts w:ascii="宋体" w:hAnsi="宋体" w:eastAsia="宋体" w:cs="宋体"/>
                <w:color w:val="auto"/>
                <w:sz w:val="21"/>
                <w:highlight w:val="none"/>
              </w:rPr>
              <w:t>工程量清单中设有暂估价、暂列金的，投标人投标报价未按招标人规定的金额计入投标报价或更改的，作否决投标处理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工程量清单一致</w:t>
            </w:r>
          </w:p>
        </w:tc>
        <w:tc>
          <w:tcPr>
            <w:tcW w:w="5387" w:type="dxa"/>
            <w:gridSpan w:val="2"/>
            <w:shd w:val="clear" w:color="auto" w:fill="auto"/>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eastAsia="zh-CN"/>
              </w:rPr>
              <w:t>与招标人提供的工程量清单中项目编码、项目名称、项目特征、计量单位和工程量完全一致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评标澄清、说明或补正</w:t>
            </w:r>
          </w:p>
        </w:tc>
        <w:tc>
          <w:tcPr>
            <w:tcW w:w="5387" w:type="dxa"/>
            <w:gridSpan w:val="2"/>
            <w:shd w:val="clear" w:color="auto" w:fill="auto"/>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不按评标委员会要求进行澄清、说明或补正的作否决投标处理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50" w:type="dxa"/>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1123" w:type="dxa"/>
            <w:gridSpan w:val="2"/>
            <w:vMerge w:val="continue"/>
            <w:noWrap w:val="0"/>
            <w:vAlign w:val="center"/>
          </w:tcPr>
          <w:p>
            <w:pPr>
              <w:autoSpaceDE w:val="0"/>
              <w:autoSpaceDN w:val="0"/>
              <w:adjustRightInd w:val="0"/>
              <w:spacing w:after="0" w:line="360" w:lineRule="auto"/>
              <w:ind w:firstLine="0" w:firstLineChars="0"/>
              <w:jc w:val="center"/>
              <w:rPr>
                <w:rFonts w:ascii="宋体" w:hAnsi="宋体" w:eastAsia="宋体" w:cs="Times New Roman"/>
                <w:color w:val="auto"/>
                <w:kern w:val="2"/>
                <w:sz w:val="21"/>
                <w:szCs w:val="21"/>
                <w:highlight w:val="none"/>
                <w:lang w:eastAsia="zh-CN"/>
              </w:rPr>
            </w:pPr>
          </w:p>
        </w:tc>
        <w:tc>
          <w:tcPr>
            <w:tcW w:w="2138" w:type="dxa"/>
            <w:shd w:val="clear" w:color="auto" w:fill="auto"/>
            <w:noWrap w:val="0"/>
            <w:vAlign w:val="center"/>
          </w:tcPr>
          <w:p>
            <w:pPr>
              <w:spacing w:after="0" w:line="440" w:lineRule="exact"/>
              <w:ind w:firstLine="0" w:firstLineChars="0"/>
              <w:jc w:val="center"/>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其他明确的否决投标条款</w:t>
            </w:r>
          </w:p>
        </w:tc>
        <w:tc>
          <w:tcPr>
            <w:tcW w:w="5387" w:type="dxa"/>
            <w:gridSpan w:val="2"/>
            <w:shd w:val="clear" w:color="auto" w:fill="auto"/>
            <w:noWrap w:val="0"/>
            <w:vAlign w:val="center"/>
          </w:tcPr>
          <w:p>
            <w:pPr>
              <w:spacing w:after="0" w:line="440" w:lineRule="exact"/>
              <w:ind w:firstLine="0" w:firstLineChars="0"/>
              <w:jc w:val="left"/>
              <w:rPr>
                <w:rFonts w:hint="eastAsia" w:ascii="宋体" w:hAnsi="宋体" w:eastAsia="宋体" w:cs="Times New Roman"/>
                <w:color w:val="auto"/>
                <w:kern w:val="2"/>
                <w:sz w:val="21"/>
                <w:szCs w:val="21"/>
                <w:highlight w:val="none"/>
                <w:lang w:val="en-US" w:eastAsia="en-US"/>
              </w:rPr>
            </w:pPr>
            <w:r>
              <w:rPr>
                <w:rFonts w:hint="eastAsia" w:ascii="宋体" w:hAnsi="宋体" w:eastAsia="宋体" w:cs="Times New Roman"/>
                <w:color w:val="auto"/>
                <w:kern w:val="2"/>
                <w:sz w:val="21"/>
                <w:szCs w:val="21"/>
                <w:highlight w:val="none"/>
                <w:lang w:eastAsia="zh-CN"/>
              </w:rPr>
              <w:t>未能响应招标文件否决投标条款中提出的实质性要求和条件的作否决投标处理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9498" w:type="dxa"/>
            <w:gridSpan w:val="6"/>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left"/>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2.2详细评审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条款内容</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698" w:type="dxa"/>
            <w:gridSpan w:val="2"/>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2.2.</w:t>
            </w:r>
            <w:r>
              <w:rPr>
                <w:rFonts w:hint="eastAsia" w:ascii="宋体" w:hAnsi="宋体" w:eastAsia="宋体" w:cs="Times New Roman"/>
                <w:color w:val="auto"/>
                <w:kern w:val="0"/>
                <w:sz w:val="21"/>
                <w:szCs w:val="21"/>
                <w:highlight w:val="none"/>
                <w:lang w:val="en-US" w:eastAsia="zh-CN"/>
              </w:rPr>
              <w:t>1</w:t>
            </w:r>
          </w:p>
        </w:tc>
        <w:tc>
          <w:tcPr>
            <w:tcW w:w="3690" w:type="dxa"/>
            <w:gridSpan w:val="3"/>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2"/>
                <w:sz w:val="21"/>
                <w:szCs w:val="21"/>
                <w:highlight w:val="none"/>
                <w:lang w:eastAsia="zh-CN"/>
              </w:rPr>
              <w:t>技术标评分标准</w:t>
            </w:r>
          </w:p>
        </w:tc>
        <w:tc>
          <w:tcPr>
            <w:tcW w:w="4110" w:type="dxa"/>
            <w:tcBorders>
              <w:top w:val="single" w:color="auto"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技术标评标标准详见本章附件</w:t>
            </w:r>
            <w:r>
              <w:rPr>
                <w:rFonts w:ascii="宋体" w:hAnsi="宋体" w:eastAsia="宋体" w:cs="Times New Roman"/>
                <w:color w:val="auto"/>
                <w:kern w:val="0"/>
                <w:sz w:val="21"/>
                <w:szCs w:val="20"/>
                <w:highlight w:val="none"/>
                <w:lang w:eastAsia="zh-CN"/>
              </w:rPr>
              <w:t>A</w:t>
            </w:r>
            <w:r>
              <w:rPr>
                <w:rFonts w:hint="eastAsia" w:ascii="宋体" w:hAnsi="宋体" w:eastAsia="宋体" w:cs="Times New Roman"/>
                <w:color w:val="auto"/>
                <w:kern w:val="0"/>
                <w:sz w:val="21"/>
                <w:szCs w:val="20"/>
                <w:highlight w:val="none"/>
                <w:lang w:eastAsia="zh-CN"/>
              </w:rPr>
              <w:t>：评标详细程序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5388" w:type="dxa"/>
            <w:gridSpan w:val="5"/>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条款号</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3</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评标程序</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详见本章附件A：评标详细程序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850" w:type="dxa"/>
            <w:tcBorders>
              <w:top w:val="single" w:color="auto" w:sz="4" w:space="0"/>
              <w:left w:val="single" w:color="000000" w:sz="4" w:space="0"/>
              <w:bottom w:val="single" w:color="auto" w:sz="4" w:space="0"/>
              <w:right w:val="single" w:color="000000" w:sz="4" w:space="0"/>
            </w:tcBorders>
            <w:noWrap w:val="0"/>
            <w:vAlign w:val="center"/>
          </w:tcPr>
          <w:p>
            <w:pPr>
              <w:adjustRightInd w:val="0"/>
              <w:snapToGrid w:val="0"/>
              <w:spacing w:after="0" w:line="360" w:lineRule="auto"/>
              <w:ind w:firstLine="0" w:firstLineChars="0"/>
              <w:jc w:val="center"/>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4</w:t>
            </w:r>
          </w:p>
        </w:tc>
        <w:tc>
          <w:tcPr>
            <w:tcW w:w="4538"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否决投标条款</w:t>
            </w:r>
          </w:p>
        </w:tc>
        <w:tc>
          <w:tcPr>
            <w:tcW w:w="411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after="0" w:line="360" w:lineRule="auto"/>
              <w:ind w:firstLine="0" w:firstLineChars="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详见本章附件B：否决投标条款</w:t>
            </w:r>
          </w:p>
        </w:tc>
      </w:tr>
    </w:tbl>
    <w:p>
      <w:pPr>
        <w:spacing w:after="0" w:line="360" w:lineRule="auto"/>
        <w:ind w:left="0" w:leftChars="0" w:firstLine="0" w:firstLineChars="0"/>
        <w:jc w:val="center"/>
        <w:rPr>
          <w:rFonts w:hint="eastAsia" w:asciiTheme="minorEastAsia" w:hAnsiTheme="minorEastAsia" w:eastAsiaTheme="minorEastAsia" w:cstheme="minorEastAsia"/>
          <w:b/>
          <w:color w:val="auto"/>
          <w:sz w:val="28"/>
          <w:szCs w:val="28"/>
          <w:highlight w:val="none"/>
        </w:rPr>
      </w:pPr>
      <w:r>
        <w:rPr>
          <w:rFonts w:ascii="宋体" w:hAnsi="宋体" w:eastAsia="宋体" w:cs="Times New Roman"/>
          <w:b/>
          <w:color w:val="auto"/>
          <w:kern w:val="2"/>
          <w:sz w:val="28"/>
          <w:highlight w:val="none"/>
          <w:lang w:val="en-US" w:eastAsia="zh-CN" w:bidi="ar-SA"/>
        </w:rPr>
        <w:br w:type="page"/>
      </w:r>
      <w:r>
        <w:rPr>
          <w:rFonts w:hint="eastAsia" w:asciiTheme="minorEastAsia" w:hAnsiTheme="minorEastAsia" w:eastAsiaTheme="minorEastAsia" w:cstheme="minorEastAsia"/>
          <w:b/>
          <w:color w:val="auto"/>
          <w:sz w:val="28"/>
          <w:szCs w:val="28"/>
          <w:highlight w:val="none"/>
        </w:rPr>
        <w:t>评标办法正文（最低投标价法）</w:t>
      </w:r>
    </w:p>
    <w:p>
      <w:pPr>
        <w:spacing w:after="0" w:line="360" w:lineRule="auto"/>
        <w:ind w:firstLine="0" w:firstLineChars="0"/>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t>1.</w:t>
      </w:r>
      <w:r>
        <w:rPr>
          <w:rFonts w:hint="eastAsia" w:ascii="宋体" w:hAnsi="宋体" w:eastAsia="宋体" w:cs="Times New Roman"/>
          <w:color w:val="auto"/>
          <w:kern w:val="2"/>
          <w:sz w:val="21"/>
          <w:szCs w:val="20"/>
          <w:highlight w:val="none"/>
          <w:lang w:eastAsia="zh-CN"/>
        </w:rPr>
        <w:t>评标方法</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一、本项目评标办法采用最低投标价法。</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二、本办法是评标委员会确定工程中标候选人的依据，在评标过程中应充分体现公平、公正、科学合理的原则。</w:t>
      </w:r>
    </w:p>
    <w:p>
      <w:pPr>
        <w:spacing w:after="0" w:line="360" w:lineRule="auto"/>
        <w:ind w:firstLine="0" w:firstLineChars="0"/>
        <w:rPr>
          <w:rFonts w:ascii="宋体" w:hAnsi="宋体" w:eastAsia="宋体" w:cs="Times New Roman"/>
          <w:color w:val="auto"/>
          <w:kern w:val="2"/>
          <w:sz w:val="24"/>
          <w:szCs w:val="20"/>
          <w:highlight w:val="none"/>
          <w:lang w:eastAsia="zh-CN"/>
        </w:rPr>
      </w:pPr>
      <w:r>
        <w:rPr>
          <w:rFonts w:ascii="宋体" w:hAnsi="宋体" w:eastAsia="宋体" w:cs="Times New Roman"/>
          <w:color w:val="auto"/>
          <w:kern w:val="2"/>
          <w:sz w:val="21"/>
          <w:szCs w:val="20"/>
          <w:highlight w:val="none"/>
          <w:lang w:eastAsia="zh-CN"/>
        </w:rPr>
        <w:t>2</w:t>
      </w:r>
      <w:r>
        <w:rPr>
          <w:rFonts w:hint="eastAsia" w:ascii="宋体" w:hAnsi="宋体" w:eastAsia="宋体" w:cs="Times New Roman"/>
          <w:color w:val="auto"/>
          <w:kern w:val="2"/>
          <w:sz w:val="21"/>
          <w:szCs w:val="20"/>
          <w:highlight w:val="none"/>
          <w:lang w:eastAsia="zh-CN"/>
        </w:rPr>
        <w:t>．评审标准</w:t>
      </w:r>
      <w:r>
        <w:rPr>
          <w:rFonts w:ascii="宋体" w:hAnsi="宋体" w:eastAsia="宋体" w:cs="Times New Roman"/>
          <w:color w:val="auto"/>
          <w:kern w:val="2"/>
          <w:sz w:val="21"/>
          <w:szCs w:val="20"/>
          <w:highlight w:val="none"/>
          <w:lang w:eastAsia="zh-CN"/>
        </w:rPr>
        <w:t xml:space="preserve"> </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2.1.1 形式评审标准：见评标办法前附表。</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2.1.2 资格评审标准：见评标办法前附表。</w:t>
      </w:r>
    </w:p>
    <w:p>
      <w:pPr>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2.1.3 响应性评审标准：见评标办法前附表。</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2.2 详细评审标准：见评标办法前附表。</w:t>
      </w:r>
    </w:p>
    <w:p>
      <w:pPr>
        <w:spacing w:after="0" w:line="360" w:lineRule="auto"/>
        <w:ind w:firstLine="0" w:firstLineChars="0"/>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t>3</w:t>
      </w:r>
      <w:r>
        <w:rPr>
          <w:rFonts w:hint="eastAsia" w:ascii="宋体" w:hAnsi="宋体" w:eastAsia="宋体" w:cs="Times New Roman"/>
          <w:color w:val="auto"/>
          <w:kern w:val="2"/>
          <w:sz w:val="21"/>
          <w:szCs w:val="20"/>
          <w:highlight w:val="none"/>
          <w:lang w:eastAsia="zh-CN"/>
        </w:rPr>
        <w:t>．评标程序</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 初步评审</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3.1.1 评标委员会依据本章第2.1.1项、第2.1.2项、第2.1.3项顺序及规定的评审标准对投标文件进行初步评审。有一项不符合评审标准的，作否决投标处理。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3.1.2 投标报价有算术错误的，评标委员会按以下原则对投标报价进行修正，修正的价格经投标人书面确认后具有约束力。投标人不接受修正价格的，其投标作否决投标处理。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（1）投标文件中的大写金额与小写金额不一致的，以大写金额为准；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（2）总价金额与依据单价计算出的结果不一致的，以单价金额为准修正总价，但单价金额小数点有明显错误的除外。</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 详细评审</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3.2.1 评标委员会按本章第2.2款规定的量化因素和分值进行打分，并计算出最终得分。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3.2.2 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否决投标处理。</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 投标文件的澄清和补正</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3.3.1 在评标过程中，评标委员会可以书面形式要求投标人对所上传投标文件中不明确的内容进行书面澄清或说明，或者对细微偏差进行补正。评标委员会不接受投标人主动提出的澄清、说明或补正。 </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3.3.2 澄清、说明和补正不得改变投标文件的实质性内容（算术性错误修正的除外）。投标人的书面澄清、说明和补正属于投标文件的组成部分。 </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3.3.3 评标委员会对投标人提交的澄清、说明或补正有疑问的，可以要求投标人进一步澄清、说明或补正，直至满足评标委员会的要求。</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 xml:space="preserve">3.4 评标结果 </w:t>
      </w:r>
    </w:p>
    <w:p>
      <w:pPr>
        <w:spacing w:after="0" w:line="360" w:lineRule="auto"/>
        <w:ind w:firstLine="420" w:firstLineChars="20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2"/>
          <w:sz w:val="21"/>
          <w:szCs w:val="20"/>
          <w:highlight w:val="none"/>
          <w:lang w:eastAsia="zh-CN"/>
        </w:rPr>
        <w:t>3.4.1 除第二章“投标人须知”前附表授权直接确定中标人外，</w:t>
      </w:r>
      <w:r>
        <w:rPr>
          <w:rFonts w:hint="eastAsia" w:ascii="宋体" w:hAnsi="宋体" w:eastAsia="宋体" w:cs="Times New Roman"/>
          <w:color w:val="auto"/>
          <w:kern w:val="0"/>
          <w:sz w:val="21"/>
          <w:szCs w:val="21"/>
          <w:highlight w:val="none"/>
          <w:lang w:eastAsia="zh-CN"/>
        </w:rPr>
        <w:t>评标委员会在推荐中标候选人时，应遵照以下原则：评标委员会</w:t>
      </w:r>
      <w:r>
        <w:rPr>
          <w:rFonts w:hint="eastAsia" w:ascii="宋体" w:hAnsi="宋体" w:eastAsia="宋体" w:cs="Times New Roman"/>
          <w:color w:val="auto"/>
          <w:kern w:val="0"/>
          <w:sz w:val="21"/>
          <w:szCs w:val="21"/>
          <w:highlight w:val="none"/>
          <w:lang w:val="en-US" w:eastAsia="zh-CN"/>
        </w:rPr>
        <w:t>对通过技术评审的投标人</w:t>
      </w:r>
      <w:r>
        <w:rPr>
          <w:rFonts w:hint="eastAsia" w:ascii="宋体" w:hAnsi="宋体" w:eastAsia="宋体" w:cs="Times New Roman"/>
          <w:color w:val="auto"/>
          <w:kern w:val="0"/>
          <w:sz w:val="21"/>
          <w:szCs w:val="21"/>
          <w:highlight w:val="none"/>
          <w:lang w:eastAsia="zh-CN"/>
        </w:rPr>
        <w:t>按照</w:t>
      </w:r>
      <w:r>
        <w:rPr>
          <w:rFonts w:hint="eastAsia" w:ascii="宋体" w:hAnsi="宋体" w:eastAsia="宋体" w:cs="Times New Roman"/>
          <w:color w:val="auto"/>
          <w:kern w:val="0"/>
          <w:sz w:val="21"/>
          <w:szCs w:val="21"/>
          <w:highlight w:val="none"/>
          <w:lang w:val="en-US" w:eastAsia="zh-CN"/>
        </w:rPr>
        <w:t>投标报价</w:t>
      </w:r>
      <w:r>
        <w:rPr>
          <w:rFonts w:hint="eastAsia" w:ascii="宋体" w:hAnsi="宋体" w:eastAsia="宋体" w:cs="Times New Roman"/>
          <w:color w:val="auto"/>
          <w:kern w:val="0"/>
          <w:sz w:val="21"/>
          <w:szCs w:val="21"/>
          <w:highlight w:val="none"/>
          <w:lang w:eastAsia="zh-CN"/>
        </w:rPr>
        <w:t>由低至高的次序排列，</w:t>
      </w:r>
      <w:r>
        <w:rPr>
          <w:rFonts w:hint="eastAsia" w:ascii="宋体" w:hAnsi="宋体" w:eastAsia="宋体" w:cs="Times New Roman"/>
          <w:color w:val="auto"/>
          <w:kern w:val="0"/>
          <w:sz w:val="21"/>
          <w:szCs w:val="21"/>
          <w:highlight w:val="none"/>
          <w:lang w:val="en-US" w:eastAsia="zh-CN"/>
        </w:rPr>
        <w:t>若投标报价相同按技术部分得分高者优先，若技术部分得分也相同</w:t>
      </w:r>
      <w:r>
        <w:rPr>
          <w:rFonts w:hint="eastAsia" w:ascii="宋体" w:hAnsi="宋体" w:eastAsia="宋体" w:cs="Times New Roman"/>
          <w:color w:val="auto"/>
          <w:kern w:val="2"/>
          <w:sz w:val="21"/>
          <w:szCs w:val="20"/>
          <w:highlight w:val="none"/>
          <w:lang w:val="en-US" w:eastAsia="zh-CN"/>
        </w:rPr>
        <w:t>由评标委员会记名投票决定</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0"/>
          <w:sz w:val="21"/>
          <w:szCs w:val="21"/>
          <w:highlight w:val="none"/>
          <w:lang w:eastAsia="zh-CN"/>
        </w:rPr>
        <w:t>并根据第二章“投标人须知”前附表第7.1款规定的中标候选人数量，将排序在前的投标人推荐为中标候选人。</w:t>
      </w:r>
    </w:p>
    <w:p>
      <w:pPr>
        <w:spacing w:after="0" w:line="360" w:lineRule="auto"/>
        <w:ind w:firstLine="420" w:firstLineChars="200"/>
        <w:rPr>
          <w:rFonts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3.4.2 评标委员会完成评标后，应当向招标人提交书面评标报告。评标报告由评标委员会全体成员签字。对评标结论和建议持有异议的评标委员可以书面方式阐述其不同意见和理由。评标委员会成员拒绝在评标报告上签字且不陈述其不同意见和理由的，视为同意评标结论和建议。评标委员会负责人应当对此做出书面说明并记录在案。</w:t>
      </w:r>
    </w:p>
    <w:p>
      <w:pPr>
        <w:adjustRightInd w:val="0"/>
        <w:snapToGrid w:val="0"/>
        <w:spacing w:after="0" w:line="36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p>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182" w:name="_Toc28718"/>
      <w:r>
        <w:rPr>
          <w:rFonts w:hint="eastAsia" w:ascii="宋体" w:hAnsi="宋体" w:eastAsia="宋体" w:cs="Times New Roman"/>
          <w:color w:val="auto"/>
          <w:kern w:val="0"/>
          <w:sz w:val="28"/>
          <w:szCs w:val="20"/>
          <w:highlight w:val="none"/>
          <w:lang w:eastAsia="zh-CN"/>
        </w:rPr>
        <w:t>附件A：评标详细程序</w:t>
      </w:r>
      <w:bookmarkEnd w:id="182"/>
    </w:p>
    <w:p>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评标详细程序</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A0.总  则</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本附件是本章“评标办法”的组成部分，评标委员会应当按照本附件所规定的详细程序开展并完成评标工作。</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A1.基本程序</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评标活动将按以下五个步骤进行：</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(1)评标准备；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(2)初步评审；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(3)详细评审；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(4)澄清、说明或补正；</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(5)推荐中标候选人或者直接确定中标人及提交评标报告。</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A2.评标准备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A2.1评标委员会成员签到</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评标委员会成员到达评标现场签到并组建评标委员会。</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A2.2评标委员会的分工</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评标委员会首先推选一名评标委员会主任。招标人也可以直接指定评标委员会主任。评标委员会主任负责评标活动的组织领导工作。评标委员会主任在与其他评标委员会成员协商的基础上，可以将评标委员会划分为技术组和商务组。</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A2.3熟悉文件资料</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2.3.1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2.3.2招标人或招标代理机构应向评标委员会提供评标所需的信息和数据，包括招标文件、未在开标会上当场拒绝的各投标文件、开标会记录、资格预审文件及各投标人在资格预审阶段递交的资格预审申请文件（适用于已进行资格预审的）、招标控制价（如果有）、工程所在地工程造价管理部门颁布的工程造价信息、定额（如作为计价依据时）、有关的法律、法规、规章、国家标准以及招标人或评标委员会认为必要的其他信息和数据。</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A2.4对投标文件进行基础性数据分析和整理工作（清标）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在不改变投标人投标文件实质性内容的前提下，评标委员会应当对投标文件进行基础性数据分析和整理（简称为“清标”），从而发现并提取其中可能存在的对招标范围理解的偏差、投标报价的算术性错误、错漏项、投标报价构成不合理、不平衡报价、是否低于成本报价等存在明显异常的问题，并就这些问题整理形成清标成果。评标委员会对清标成果审议后，决定需要投标人进行书面澄清、说明或补正的问题，形成质疑问卷，向投标人发出问题澄清通知（质疑问卷）。</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A3.初步评审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1"/>
          <w:highlight w:val="none"/>
          <w:lang w:eastAsia="zh-CN"/>
        </w:rPr>
        <w:t>评标委员会依据本章第2.1.1项、第2.1.2项、第2.1.3项规定的评审标准对投标文件进行初步评审。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A3.1形式评审</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评标委员会根据评标办法前附表中规定的评审因素和评审标准，对投标人的投标文件首先进行形式评审，形式评审不通过的投标文件不进入资格评审。</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A3.2资格评审</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评标委员会根据评标办法前附表中规定的评审因素和评审标准，对投标人的投标文件首先进行资格评审，资格评审不通过的投标文件不进入响应性评审。</w:t>
      </w:r>
    </w:p>
    <w:p>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A3.3响应性评审</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评标委员会根据评标办法前附表中规定的评审因素和评审标准，对投标人的投标文件进行响应性评审，响应性不通过的投标文件不进入详细评审。</w:t>
      </w:r>
    </w:p>
    <w:p>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A3.4判断投标是否被否决</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A3.4.1判断投标人的投标是否为否决投标的全部条款在本章附件B中集中列示。</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A3.4.2评标委员会在评标(包括初步评审和详细评审)过程中，依据本章附件B中规定的否决投标条款判断投标人的投标是否被否决。</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3.4.3对投标人未通过评审的原因，评标委员会应在相关的决议或在评标报告中说明。评标委员会经评审，有效投标文件不足3家使得投标明显缺乏竞争的，评标委员会可以否决全部投标。所有投标被否决后，招标人应当依法重新招标。当有效投标文件不足3家时，评标委员会认为仍能满足业主要求，并具有竞争性的，评标委员会按综合评估法</w:t>
      </w:r>
      <w:r>
        <w:rPr>
          <w:rFonts w:hint="eastAsia" w:ascii="宋体" w:hAnsi="宋体" w:eastAsia="宋体" w:cs="Times New Roman"/>
          <w:color w:val="auto"/>
          <w:kern w:val="2"/>
          <w:sz w:val="21"/>
          <w:szCs w:val="21"/>
          <w:highlight w:val="none"/>
          <w:lang w:val="en-US" w:eastAsia="zh-CN"/>
        </w:rPr>
        <w:t>推荐中标候选人，并</w:t>
      </w:r>
      <w:r>
        <w:rPr>
          <w:rFonts w:hint="eastAsia" w:ascii="宋体" w:hAnsi="宋体" w:eastAsia="宋体" w:cs="Times New Roman"/>
          <w:color w:val="auto"/>
          <w:kern w:val="2"/>
          <w:sz w:val="21"/>
          <w:szCs w:val="21"/>
          <w:highlight w:val="none"/>
          <w:lang w:eastAsia="zh-CN"/>
        </w:rPr>
        <w:t>在评标报告中阐明</w:t>
      </w:r>
      <w:r>
        <w:rPr>
          <w:rFonts w:hint="eastAsia" w:ascii="宋体" w:hAnsi="宋体" w:eastAsia="宋体" w:cs="Times New Roman"/>
          <w:color w:val="auto"/>
          <w:kern w:val="2"/>
          <w:sz w:val="21"/>
          <w:szCs w:val="21"/>
          <w:highlight w:val="none"/>
          <w:lang w:val="en-US" w:eastAsia="zh-CN"/>
        </w:rPr>
        <w:t>推荐</w:t>
      </w:r>
      <w:r>
        <w:rPr>
          <w:rFonts w:hint="eastAsia" w:ascii="宋体" w:hAnsi="宋体" w:eastAsia="宋体" w:cs="Times New Roman"/>
          <w:color w:val="auto"/>
          <w:kern w:val="2"/>
          <w:sz w:val="21"/>
          <w:szCs w:val="21"/>
          <w:highlight w:val="none"/>
          <w:lang w:eastAsia="zh-CN"/>
        </w:rPr>
        <w:t>理由。</w:t>
      </w:r>
    </w:p>
    <w:p>
      <w:pPr>
        <w:adjustRightInd w:val="0"/>
        <w:snapToGrid w:val="0"/>
        <w:spacing w:after="0" w:line="360" w:lineRule="auto"/>
        <w:ind w:firstLine="420" w:firstLineChars="200"/>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A3.5算术错误修正</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投标报价有算术错误的，评标委员会按以下原则对投标报价进行修正，修正的价格经投标人书面确认后具有约束力。投标人不接受修正价格的，其投标作否决投标处理。</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（1）投标文件中的大写金额与小写金额不一致的，以大写金额为准；</w:t>
      </w:r>
    </w:p>
    <w:p>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（2）总价金额与依据单价计算出的结果不一致的，以单价金额为准修正总价，但单价金额小数点有明显错误的除外。</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A3.6澄清、说明或补正</w:t>
      </w:r>
    </w:p>
    <w:p>
      <w:pPr>
        <w:adjustRightInd w:val="0"/>
        <w:snapToGrid w:val="0"/>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在初步评审过程中，评标委员会应当就投标文件中不明确的内容要求投标人进行澄清、说明或者补正。投标人应当根据问题澄清通知要求，以书面形式予以澄清、说明或者补正。澄清、说明或补正根据本章第3.3款的规定进行。</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A4.详细评审</w:t>
      </w:r>
    </w:p>
    <w:p>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0"/>
          <w:sz w:val="21"/>
          <w:szCs w:val="20"/>
          <w:highlight w:val="none"/>
          <w:lang w:eastAsia="zh-CN"/>
        </w:rPr>
        <w:t>只有通过了初步评审、被判定为合格的投标人可进入详细评审；</w:t>
      </w:r>
      <w:r>
        <w:rPr>
          <w:rFonts w:hint="eastAsia" w:ascii="宋体" w:hAnsi="宋体" w:eastAsia="宋体" w:cs="Times New Roman"/>
          <w:color w:val="auto"/>
          <w:kern w:val="0"/>
          <w:sz w:val="21"/>
          <w:szCs w:val="20"/>
          <w:highlight w:val="none"/>
          <w:lang w:val="en-US" w:eastAsia="zh-CN"/>
        </w:rPr>
        <w:t>详细评审仅对投标人的技术部分进行评审，投标人技术部分评审为通过性评审，分值低于70分的投标人不得进入下一评审环节</w:t>
      </w:r>
      <w:r>
        <w:rPr>
          <w:rFonts w:hint="eastAsia" w:ascii="宋体" w:hAnsi="宋体" w:eastAsia="宋体" w:cs="Times New Roman"/>
          <w:color w:val="auto"/>
          <w:kern w:val="0"/>
          <w:sz w:val="21"/>
          <w:szCs w:val="20"/>
          <w:highlight w:val="none"/>
          <w:lang w:eastAsia="zh-CN"/>
        </w:rPr>
        <w:t>。</w:t>
      </w:r>
    </w:p>
    <w:p>
      <w:pPr>
        <w:adjustRightInd w:val="0"/>
        <w:snapToGrid w:val="0"/>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A4.</w:t>
      </w:r>
      <w:r>
        <w:rPr>
          <w:rFonts w:hint="eastAsia" w:ascii="宋体" w:hAnsi="宋体" w:eastAsia="宋体" w:cs="Times New Roman"/>
          <w:color w:val="auto"/>
          <w:kern w:val="2"/>
          <w:sz w:val="21"/>
          <w:szCs w:val="21"/>
          <w:highlight w:val="none"/>
          <w:lang w:val="en-US" w:eastAsia="zh-CN"/>
        </w:rPr>
        <w:t>1</w:t>
      </w:r>
      <w:r>
        <w:rPr>
          <w:rFonts w:hint="eastAsia" w:ascii="宋体" w:hAnsi="宋体" w:eastAsia="宋体" w:cs="Times New Roman"/>
          <w:color w:val="auto"/>
          <w:kern w:val="2"/>
          <w:sz w:val="21"/>
          <w:szCs w:val="21"/>
          <w:highlight w:val="none"/>
          <w:lang w:eastAsia="zh-CN"/>
        </w:rPr>
        <w:t>技术部分评分方法（</w:t>
      </w:r>
      <w:r>
        <w:rPr>
          <w:rFonts w:hint="eastAsia" w:ascii="宋体" w:hAnsi="宋体" w:eastAsia="宋体" w:cs="Times New Roman"/>
          <w:bCs/>
          <w:color w:val="auto"/>
          <w:kern w:val="2"/>
          <w:sz w:val="21"/>
          <w:szCs w:val="21"/>
          <w:highlight w:val="none"/>
          <w:lang w:eastAsia="zh-CN"/>
        </w:rPr>
        <w:t>技术部</w:t>
      </w:r>
      <w:r>
        <w:rPr>
          <w:rFonts w:hint="eastAsia" w:ascii="宋体" w:hAnsi="宋体" w:eastAsia="宋体" w:cs="Times New Roman"/>
          <w:bCs/>
          <w:color w:val="auto"/>
          <w:kern w:val="2"/>
          <w:sz w:val="21"/>
          <w:szCs w:val="21"/>
          <w:highlight w:val="none"/>
          <w:lang w:val="en-US" w:eastAsia="zh-CN"/>
        </w:rPr>
        <w:t>分</w:t>
      </w:r>
      <w:r>
        <w:rPr>
          <w:rFonts w:hint="eastAsia" w:ascii="宋体" w:hAnsi="宋体" w:eastAsia="宋体" w:cs="Times New Roman"/>
          <w:bCs/>
          <w:color w:val="auto"/>
          <w:kern w:val="2"/>
          <w:sz w:val="21"/>
          <w:szCs w:val="21"/>
          <w:highlight w:val="none"/>
          <w:lang w:eastAsia="zh-CN"/>
        </w:rPr>
        <w:t>满分分值</w:t>
      </w:r>
      <w:r>
        <w:rPr>
          <w:rFonts w:hint="eastAsia" w:ascii="宋体" w:hAnsi="宋体" w:eastAsia="宋体" w:cs="Times New Roman"/>
          <w:bCs/>
          <w:color w:val="auto"/>
          <w:kern w:val="2"/>
          <w:sz w:val="21"/>
          <w:szCs w:val="21"/>
          <w:highlight w:val="none"/>
          <w:lang w:val="en-US" w:eastAsia="zh-CN"/>
        </w:rPr>
        <w:t>10</w:t>
      </w:r>
      <w:r>
        <w:rPr>
          <w:rFonts w:hint="eastAsia" w:ascii="宋体" w:hAnsi="宋体" w:eastAsia="宋体" w:cs="Times New Roman"/>
          <w:bCs/>
          <w:color w:val="auto"/>
          <w:kern w:val="2"/>
          <w:sz w:val="21"/>
          <w:szCs w:val="21"/>
          <w:highlight w:val="none"/>
          <w:lang w:eastAsia="zh-CN"/>
        </w:rPr>
        <w:t>0分）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.1对项目的理解、重难点分析及合理化建议（</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a)对招标项目的关键技术、工艺有明确、深入的表述，对施工重点、难点、经济、安全的解决方案和保证措施方案及合理化建议切实可行，得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b)对招标项目的关键技术、工艺有较明确的表述，对施工重点、难点、经济、安全的解决方案和保证措施方案及合理化建议可行，得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c)对招标项目的关键技术、工艺的表述不够明确，对施工重点、难点、经济、安全的解决方案和保证措施方案及合理化建议基本可行，得1-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d)对招标项目的关键技术、工艺的表述</w:t>
      </w:r>
      <w:r>
        <w:rPr>
          <w:rFonts w:hint="eastAsia" w:ascii="宋体" w:hAnsi="宋体" w:eastAsia="宋体" w:cs="Times New Roman"/>
          <w:color w:val="auto"/>
          <w:kern w:val="2"/>
          <w:sz w:val="21"/>
          <w:szCs w:val="20"/>
          <w:highlight w:val="none"/>
          <w:lang w:val="en-US" w:eastAsia="zh-CN"/>
        </w:rPr>
        <w:t>有误</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无</w:t>
      </w:r>
      <w:r>
        <w:rPr>
          <w:rFonts w:hint="eastAsia" w:ascii="宋体" w:hAnsi="宋体" w:eastAsia="宋体" w:cs="Times New Roman"/>
          <w:color w:val="auto"/>
          <w:kern w:val="2"/>
          <w:sz w:val="21"/>
          <w:szCs w:val="20"/>
          <w:highlight w:val="none"/>
          <w:lang w:eastAsia="zh-CN"/>
        </w:rPr>
        <w:t>施工重点、难点、经济、安全的解决方案</w:t>
      </w:r>
      <w:r>
        <w:rPr>
          <w:rFonts w:hint="eastAsia" w:ascii="宋体" w:hAnsi="宋体" w:eastAsia="宋体" w:cs="Times New Roman"/>
          <w:color w:val="auto"/>
          <w:kern w:val="2"/>
          <w:sz w:val="21"/>
          <w:szCs w:val="20"/>
          <w:highlight w:val="none"/>
          <w:lang w:val="en-US" w:eastAsia="zh-CN"/>
        </w:rPr>
        <w:t>的</w:t>
      </w:r>
      <w:r>
        <w:rPr>
          <w:rFonts w:hint="eastAsia" w:ascii="宋体" w:hAnsi="宋体" w:eastAsia="宋体" w:cs="Times New Roman"/>
          <w:color w:val="auto"/>
          <w:kern w:val="2"/>
          <w:sz w:val="21"/>
          <w:szCs w:val="20"/>
          <w:highlight w:val="none"/>
          <w:lang w:eastAsia="zh-CN"/>
        </w:rPr>
        <w:t>，不得分。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w:t>
      </w:r>
      <w:r>
        <w:rPr>
          <w:rFonts w:hint="eastAsia" w:ascii="宋体" w:hAnsi="宋体" w:eastAsia="宋体" w:cs="Times New Roman"/>
          <w:color w:val="auto"/>
          <w:kern w:val="2"/>
          <w:sz w:val="21"/>
          <w:szCs w:val="20"/>
          <w:highlight w:val="none"/>
          <w:lang w:eastAsia="zh-CN"/>
        </w:rPr>
        <w:t>施工技术方案评审评分（</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a)施工技术方案合理且能指导施工，施工措施具体且有针对性，施工部署全面的，得</w:t>
      </w:r>
      <w:r>
        <w:rPr>
          <w:rFonts w:hint="eastAsia" w:ascii="宋体" w:hAnsi="宋体" w:eastAsia="宋体" w:cs="Times New Roman"/>
          <w:color w:val="auto"/>
          <w:kern w:val="2"/>
          <w:sz w:val="21"/>
          <w:szCs w:val="20"/>
          <w:highlight w:val="none"/>
          <w:lang w:val="en-US" w:eastAsia="zh-CN"/>
        </w:rPr>
        <w:t>16</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20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b)施工技术方案合理但对施工指导性一般，施工措施具体但针对性一般，施工部署全面的，得</w:t>
      </w:r>
      <w:r>
        <w:rPr>
          <w:rFonts w:hint="eastAsia" w:ascii="宋体" w:hAnsi="宋体" w:eastAsia="宋体" w:cs="Times New Roman"/>
          <w:color w:val="auto"/>
          <w:kern w:val="2"/>
          <w:sz w:val="21"/>
          <w:szCs w:val="20"/>
          <w:highlight w:val="none"/>
          <w:lang w:val="en-US" w:eastAsia="zh-CN"/>
        </w:rPr>
        <w:t>9</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15</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c)施工技术方案基本合理、对施工缺乏指导性，施工措施、施工部署基本合理但存在一些问题的，得1-</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d)施工技术方案、施工措施、施工部署存在有明显错误的，不得分。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工期承诺和保证措施评审评分（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a）工期承诺满足招标文件要求，工期保证措施合理且有针对性，有具体的违约责任承诺的；施工进度计划严格按投标工期安排，工序搭配逻辑关系和关键线路清晰、合理，并能指导施工且针对性好的，得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b）工期承诺满足招标文件要求，工期保证措施合理但针对性一般，有具体的违约责任承诺的；施工进度计划按投标工期安排，工序搭配逻辑关系和关键线路合理，但针对性一般的，得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c）工期承诺满足招标文件要求，工期保证措施基本合理，有具体的违约责任承诺的；施工进度计划符合投标工期要求，工序搭配逻辑关系和关键线路基本合理，但缺乏针对性的，得1-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劳动力安排和机械设备投入计划及其保证措施评审评分（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a）劳动力安排和机械设备投入计划与施工进度计划呼应，能较好满足施工需要，调配投入计划合理，能指导施工且针对性好的，得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b）劳动力安排和机械投设备入计划与施工进度计划呼应，能满足施工需要，调配投入计划合理，但针对性和指导性一般的，得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c）劳动力安排和机械投设备入计划与施工进度计划基本呼应，能基本满足施工需要，调配投入计划基本合理，但缺乏针对性的，得1-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d）劳动力安排和机械投设备入计划与施工进度计划不能呼应的，不得分。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5</w:t>
      </w:r>
      <w:r>
        <w:rPr>
          <w:rFonts w:hint="eastAsia" w:ascii="宋体" w:hAnsi="宋体" w:eastAsia="宋体" w:cs="Times New Roman"/>
          <w:color w:val="auto"/>
          <w:kern w:val="2"/>
          <w:sz w:val="21"/>
          <w:szCs w:val="20"/>
          <w:highlight w:val="none"/>
          <w:lang w:eastAsia="zh-CN"/>
        </w:rPr>
        <w:t>安全文明施工保证措施及环境保护措施评审评分（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a）投标书中有具体、完整、可行的安全文明及环境保护施工实施保证措施且合理、先进、针对性好，得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b）投标书中有基本具体、可行的安全文明及环境保护施工实施保证措施，得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c）投标书中安全文明及环境保护施工保证措施不具体存、有错漏，得</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6</w:t>
      </w:r>
      <w:r>
        <w:rPr>
          <w:rFonts w:hint="eastAsia" w:ascii="宋体" w:hAnsi="宋体" w:eastAsia="宋体" w:cs="Times New Roman"/>
          <w:color w:val="auto"/>
          <w:kern w:val="2"/>
          <w:sz w:val="21"/>
          <w:szCs w:val="20"/>
          <w:highlight w:val="none"/>
          <w:lang w:eastAsia="zh-CN"/>
        </w:rPr>
        <w:t>质量承诺及服务承诺评审评分（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a)质量保证和服务承诺内容具体，有针对性，切实可行，并附有服务违约承诺的，得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b)质量保证和服务承诺有其他服务承诺，但内容不具体，针对性一般，并附有具体违约承诺的，得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c)质量保证和服务承诺其他服务承诺不明确，没有针对性，或无具体违约承诺的，不得分。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项目负责人及项目管理人员配置评审评分（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a）项目管理人员针对工程实际配置且合理，能满足工程管理需要且有针对性的，得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b）项目管理人员配置合理，能满足工程管理需要，但专业配置针对性一般的，得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c）项目管理人员配置基本合理，基本能满足工程管理需要，但专业配置没有针对性的，得1</w:t>
      </w:r>
      <w:r>
        <w:rPr>
          <w:rFonts w:hint="eastAsia" w:ascii="宋体" w:hAnsi="宋体" w:eastAsia="宋体" w:cs="Times New Roman"/>
          <w:color w:val="auto"/>
          <w:kern w:val="2"/>
          <w:sz w:val="21"/>
          <w:szCs w:val="20"/>
          <w:highlight w:val="none"/>
          <w:lang w:val="en-US" w:eastAsia="zh-CN"/>
        </w:rPr>
        <w:t>-3</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w:t>
      </w:r>
      <w:r>
        <w:rPr>
          <w:rFonts w:ascii="宋体" w:hAnsi="宋体" w:eastAsia="宋体" w:cs="Times New Roman"/>
          <w:color w:val="auto"/>
          <w:kern w:val="2"/>
          <w:sz w:val="21"/>
          <w:szCs w:val="20"/>
          <w:highlight w:val="none"/>
          <w:lang w:eastAsia="zh-CN"/>
        </w:rPr>
        <w:t>4.</w:t>
      </w:r>
      <w:r>
        <w:rPr>
          <w:rFonts w:hint="eastAsia" w:ascii="宋体" w:hAnsi="宋体" w:eastAsia="宋体" w:cs="Times New Roman"/>
          <w:color w:val="auto"/>
          <w:kern w:val="2"/>
          <w:sz w:val="21"/>
          <w:szCs w:val="20"/>
          <w:highlight w:val="none"/>
          <w:lang w:val="en-US" w:eastAsia="zh-CN"/>
        </w:rPr>
        <w:t>1</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施工总平面布置图评审评分（</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a）施工总平面图布置合理，区域划分科学，组织运输合理，图示标识准确，针对工程实际强，得</w:t>
      </w:r>
      <w:r>
        <w:rPr>
          <w:rFonts w:hint="eastAsia" w:ascii="宋体" w:hAnsi="宋体" w:eastAsia="宋体" w:cs="Times New Roman"/>
          <w:color w:val="auto"/>
          <w:kern w:val="2"/>
          <w:sz w:val="21"/>
          <w:szCs w:val="20"/>
          <w:highlight w:val="none"/>
          <w:lang w:val="en-US" w:eastAsia="zh-CN"/>
        </w:rPr>
        <w:t>8</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10</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ascii="宋体" w:hAnsi="宋体" w:eastAsia="宋体" w:cs="Times New Roman"/>
          <w:color w:val="auto"/>
          <w:kern w:val="2"/>
          <w:sz w:val="21"/>
          <w:szCs w:val="20"/>
          <w:highlight w:val="none"/>
          <w:lang w:eastAsia="zh-CN"/>
        </w:rPr>
      </w:pPr>
      <w:r>
        <w:rPr>
          <w:rFonts w:hint="eastAsia" w:ascii="宋体" w:hAnsi="宋体" w:eastAsia="宋体" w:cs="Times New Roman"/>
          <w:color w:val="auto"/>
          <w:kern w:val="2"/>
          <w:sz w:val="21"/>
          <w:szCs w:val="20"/>
          <w:highlight w:val="none"/>
          <w:lang w:eastAsia="zh-CN"/>
        </w:rPr>
        <w:t>b）施工总平面图布置相对合理，区域划分相对科学，组织运输相对合理，图示标识相对准确，针对工程实际较强，得</w:t>
      </w:r>
      <w:r>
        <w:rPr>
          <w:rFonts w:hint="eastAsia" w:ascii="宋体" w:hAnsi="宋体" w:eastAsia="宋体" w:cs="Times New Roman"/>
          <w:color w:val="auto"/>
          <w:kern w:val="2"/>
          <w:sz w:val="21"/>
          <w:szCs w:val="20"/>
          <w:highlight w:val="none"/>
          <w:lang w:val="en-US" w:eastAsia="zh-CN"/>
        </w:rPr>
        <w:t>4</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2"/>
          <w:sz w:val="21"/>
          <w:szCs w:val="20"/>
          <w:highlight w:val="none"/>
          <w:lang w:val="en-US" w:eastAsia="zh-CN"/>
        </w:rPr>
        <w:t>7</w:t>
      </w:r>
      <w:r>
        <w:rPr>
          <w:rFonts w:hint="eastAsia" w:ascii="宋体" w:hAnsi="宋体" w:eastAsia="宋体" w:cs="Times New Roman"/>
          <w:color w:val="auto"/>
          <w:kern w:val="2"/>
          <w:sz w:val="21"/>
          <w:szCs w:val="20"/>
          <w:highlight w:val="none"/>
          <w:lang w:eastAsia="zh-CN"/>
        </w:rPr>
        <w:t>分；</w:t>
      </w:r>
    </w:p>
    <w:p>
      <w:pPr>
        <w:adjustRightInd w:val="0"/>
        <w:snapToGrid w:val="0"/>
        <w:spacing w:after="0" w:line="360" w:lineRule="auto"/>
        <w:ind w:firstLine="420" w:firstLineChars="200"/>
        <w:rPr>
          <w:rFonts w:hint="eastAsia"/>
          <w:color w:val="auto"/>
          <w:highlight w:val="none"/>
          <w:lang w:eastAsia="zh-CN"/>
        </w:rPr>
      </w:pPr>
      <w:r>
        <w:rPr>
          <w:rFonts w:hint="eastAsia" w:ascii="宋体" w:hAnsi="宋体" w:eastAsia="宋体" w:cs="Times New Roman"/>
          <w:color w:val="auto"/>
          <w:kern w:val="2"/>
          <w:sz w:val="21"/>
          <w:szCs w:val="20"/>
          <w:highlight w:val="none"/>
          <w:lang w:eastAsia="zh-CN"/>
        </w:rPr>
        <w:t>c）施工总平面图布置基本合理，区域划分基本可行，组织运输基本合理，图示标识基本准确，针对性一般。</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A5.推荐中标候选人或者直接确定中标人</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A5.1推荐中标候选人</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除第二章“投标人须知”前附表第7.1款授权直接确定中标人外，评标委员会在推荐中标候选人时，应遵照以下原则：</w:t>
      </w:r>
    </w:p>
    <w:p>
      <w:pPr>
        <w:spacing w:after="0" w:line="360" w:lineRule="auto"/>
        <w:ind w:firstLine="420" w:firstLineChars="20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(1)评标委员会</w:t>
      </w:r>
      <w:r>
        <w:rPr>
          <w:rFonts w:hint="eastAsia" w:ascii="宋体" w:hAnsi="宋体" w:eastAsia="宋体" w:cs="Times New Roman"/>
          <w:color w:val="auto"/>
          <w:kern w:val="0"/>
          <w:sz w:val="21"/>
          <w:szCs w:val="21"/>
          <w:highlight w:val="none"/>
          <w:lang w:val="en-US" w:eastAsia="zh-CN"/>
        </w:rPr>
        <w:t>对通过技术评审的投标人</w:t>
      </w:r>
      <w:r>
        <w:rPr>
          <w:rFonts w:hint="eastAsia" w:ascii="宋体" w:hAnsi="宋体" w:eastAsia="宋体" w:cs="Times New Roman"/>
          <w:color w:val="auto"/>
          <w:kern w:val="0"/>
          <w:sz w:val="21"/>
          <w:szCs w:val="21"/>
          <w:highlight w:val="none"/>
          <w:lang w:eastAsia="zh-CN"/>
        </w:rPr>
        <w:t>按照</w:t>
      </w:r>
      <w:r>
        <w:rPr>
          <w:rFonts w:hint="eastAsia" w:ascii="宋体" w:hAnsi="宋体" w:eastAsia="宋体" w:cs="Times New Roman"/>
          <w:color w:val="auto"/>
          <w:kern w:val="0"/>
          <w:sz w:val="21"/>
          <w:szCs w:val="21"/>
          <w:highlight w:val="none"/>
          <w:lang w:val="en-US" w:eastAsia="zh-CN"/>
        </w:rPr>
        <w:t>投标报价</w:t>
      </w:r>
      <w:r>
        <w:rPr>
          <w:rFonts w:hint="eastAsia" w:ascii="宋体" w:hAnsi="宋体" w:eastAsia="宋体" w:cs="Times New Roman"/>
          <w:color w:val="auto"/>
          <w:kern w:val="0"/>
          <w:sz w:val="21"/>
          <w:szCs w:val="21"/>
          <w:highlight w:val="none"/>
          <w:lang w:eastAsia="zh-CN"/>
        </w:rPr>
        <w:t>由低至高的次序排列，</w:t>
      </w:r>
      <w:r>
        <w:rPr>
          <w:rFonts w:hint="eastAsia" w:ascii="宋体" w:hAnsi="宋体" w:eastAsia="宋体" w:cs="Times New Roman"/>
          <w:color w:val="auto"/>
          <w:kern w:val="0"/>
          <w:sz w:val="21"/>
          <w:szCs w:val="21"/>
          <w:highlight w:val="none"/>
          <w:lang w:val="en-US" w:eastAsia="zh-CN"/>
        </w:rPr>
        <w:t>若投标报价相同按技术部分得分高者优先，若技术部分得分也相同</w:t>
      </w:r>
      <w:r>
        <w:rPr>
          <w:rFonts w:hint="eastAsia" w:ascii="宋体" w:hAnsi="宋体" w:eastAsia="宋体" w:cs="Times New Roman"/>
          <w:color w:val="auto"/>
          <w:kern w:val="2"/>
          <w:sz w:val="21"/>
          <w:szCs w:val="20"/>
          <w:highlight w:val="none"/>
          <w:lang w:val="en-US" w:eastAsia="zh-CN"/>
        </w:rPr>
        <w:t>由评标委员会记名投票决定</w:t>
      </w:r>
      <w:r>
        <w:rPr>
          <w:rFonts w:hint="eastAsia" w:ascii="宋体" w:hAnsi="宋体" w:eastAsia="宋体" w:cs="Times New Roman"/>
          <w:color w:val="auto"/>
          <w:kern w:val="2"/>
          <w:sz w:val="21"/>
          <w:szCs w:val="20"/>
          <w:highlight w:val="none"/>
          <w:lang w:eastAsia="zh-CN"/>
        </w:rPr>
        <w:t>。</w:t>
      </w:r>
      <w:r>
        <w:rPr>
          <w:rFonts w:hint="eastAsia" w:ascii="宋体" w:hAnsi="宋体" w:eastAsia="宋体" w:cs="Times New Roman"/>
          <w:color w:val="auto"/>
          <w:kern w:val="0"/>
          <w:sz w:val="21"/>
          <w:szCs w:val="21"/>
          <w:highlight w:val="none"/>
          <w:lang w:eastAsia="zh-CN"/>
        </w:rPr>
        <w:t>并根据第二章“投标人须知”前附表第7.1款规定的中标候选人数量，将排序在前的投标人推荐为中标候选人。</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如果评标委员会根据本章的规定作废标处理后，有效投标不足三个，且少于第二章“投标人须知”前附表第7.1款规定的中标候选人数量的，则评标委员会可以将所有有效投标进行综合评议向招标人推荐中标候选人。如果因有效投标不足三个使得投标明显缺乏竞争的，评标委员会可以建议招标人重新招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A5.2直接确定中标人</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第二章“投标人须知”前附表授权评标委员会直接确定中标人的，评标委员会按照最终得分由高至低的次序排列，并确定排名第一的投标人为中标人。</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ascii="宋体" w:hAnsi="宋体" w:eastAsia="宋体" w:cs="Times New Roman"/>
          <w:color w:val="auto"/>
          <w:kern w:val="0"/>
          <w:sz w:val="21"/>
          <w:szCs w:val="20"/>
          <w:highlight w:val="none"/>
          <w:lang w:eastAsia="zh-CN"/>
        </w:rPr>
        <w:t>A5</w:t>
      </w:r>
      <w:r>
        <w:rPr>
          <w:rFonts w:hint="eastAsia" w:ascii="宋体" w:hAnsi="宋体" w:eastAsia="宋体" w:cs="Times New Roman"/>
          <w:color w:val="auto"/>
          <w:kern w:val="0"/>
          <w:sz w:val="21"/>
          <w:szCs w:val="20"/>
          <w:highlight w:val="none"/>
          <w:lang w:eastAsia="zh-CN"/>
        </w:rPr>
        <w:t>.</w:t>
      </w:r>
      <w:r>
        <w:rPr>
          <w:rFonts w:ascii="宋体" w:hAnsi="宋体" w:eastAsia="宋体" w:cs="Times New Roman"/>
          <w:color w:val="auto"/>
          <w:kern w:val="0"/>
          <w:sz w:val="21"/>
          <w:szCs w:val="20"/>
          <w:highlight w:val="none"/>
          <w:lang w:eastAsia="zh-CN"/>
        </w:rPr>
        <w:t>3编制评标报告</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评标委员会根据本章第3.4.2项的规定向招标人提交评标报告。评标报告应当由全体评标委员会成员签字，并于评标结束时抄送有关行政监督部门。</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A6．特殊情况的处置程序</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A6.1关于评标活动暂停</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A6.1.1评标委员会应当执行连续评标的原则，按评标办法中规定的程序、内容、方法、标准完成全部评标工作。只有发生不可抗力导致评标工作无法继续时，评标活动方可暂停。</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A6.1.2发生评标暂停情况时，评标委员会应当封存全部投标文件和评标记录，待不可抗力的影响结束且具备继续评标的条件时，由原评标委员会继续评标。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A6.2关于评标中途更换评委</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A6.2.1除非发生下列情况之一，评标委员会成员不得在评标中途更换：</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(1)因不可抗拒的客观原因，不能到场或需在评标中途退出评标活动。</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(2)根据法律法规规定，某个或某几个评标委员会成员需要回避。</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A6.2.2退出评标的评标委员会成员，其已完成的评标行为无效。由招标人根据本招标文件规定的评标委员会成员生产方式另行确定替代者进行评标。</w:t>
      </w:r>
    </w:p>
    <w:p>
      <w:pPr>
        <w:adjustRightInd w:val="0"/>
        <w:snapToGrid w:val="0"/>
        <w:spacing w:after="0" w:line="360" w:lineRule="auto"/>
        <w:ind w:firstLine="420" w:firstLineChars="20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A6.3记名投票</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在任何评标环节中，需评标委员会就某项定性的评审结论做出表决的，由评标委员会全体成员按照少数服从多数的原则，以记名投票方式表决。</w:t>
      </w:r>
    </w:p>
    <w:p>
      <w:pPr>
        <w:adjustRightInd w:val="0"/>
        <w:snapToGrid w:val="0"/>
        <w:spacing w:after="0" w:line="240" w:lineRule="auto"/>
        <w:ind w:firstLine="0" w:firstLineChars="0"/>
        <w:jc w:val="left"/>
        <w:rPr>
          <w:rFonts w:ascii="宋体" w:hAnsi="宋体" w:eastAsia="宋体" w:cs="Times New Roman"/>
          <w:color w:val="auto"/>
          <w:kern w:val="2"/>
          <w:sz w:val="21"/>
          <w:szCs w:val="20"/>
          <w:highlight w:val="none"/>
          <w:lang w:eastAsia="zh-CN"/>
        </w:rPr>
      </w:pPr>
      <w:r>
        <w:rPr>
          <w:rFonts w:ascii="宋体" w:hAnsi="宋体" w:eastAsia="宋体" w:cs="Times New Roman"/>
          <w:color w:val="auto"/>
          <w:kern w:val="2"/>
          <w:sz w:val="21"/>
          <w:szCs w:val="20"/>
          <w:highlight w:val="none"/>
          <w:lang w:eastAsia="zh-CN"/>
        </w:rPr>
        <w:br w:type="page"/>
      </w:r>
    </w:p>
    <w:p>
      <w:pPr>
        <w:adjustRightInd w:val="0"/>
        <w:snapToGrid w:val="0"/>
        <w:spacing w:after="0" w:line="360" w:lineRule="auto"/>
        <w:ind w:firstLine="0" w:firstLineChars="0"/>
        <w:jc w:val="left"/>
        <w:outlineLvl w:val="1"/>
        <w:rPr>
          <w:rFonts w:ascii="宋体" w:hAnsi="宋体" w:eastAsia="宋体" w:cs="Times New Roman"/>
          <w:color w:val="auto"/>
          <w:kern w:val="0"/>
          <w:sz w:val="28"/>
          <w:szCs w:val="20"/>
          <w:highlight w:val="none"/>
          <w:lang w:eastAsia="zh-CN"/>
        </w:rPr>
      </w:pPr>
      <w:bookmarkStart w:id="183" w:name="_Toc1538"/>
      <w:r>
        <w:rPr>
          <w:rFonts w:hint="eastAsia" w:ascii="宋体" w:hAnsi="宋体" w:eastAsia="宋体" w:cs="Times New Roman"/>
          <w:color w:val="auto"/>
          <w:kern w:val="0"/>
          <w:sz w:val="28"/>
          <w:szCs w:val="20"/>
          <w:highlight w:val="none"/>
          <w:lang w:eastAsia="zh-CN"/>
        </w:rPr>
        <w:t>附件B：否决投标条款</w:t>
      </w:r>
      <w:bookmarkEnd w:id="183"/>
    </w:p>
    <w:p>
      <w:pPr>
        <w:adjustRightInd w:val="0"/>
        <w:snapToGrid w:val="0"/>
        <w:spacing w:after="0" w:line="360" w:lineRule="auto"/>
        <w:ind w:firstLine="0" w:firstLineChars="0"/>
        <w:jc w:val="center"/>
        <w:rPr>
          <w:rFonts w:ascii="宋体" w:hAnsi="宋体" w:eastAsia="宋体" w:cs="Times New Roman"/>
          <w:color w:val="auto"/>
          <w:kern w:val="0"/>
          <w:sz w:val="28"/>
          <w:szCs w:val="28"/>
          <w:highlight w:val="none"/>
          <w:lang w:eastAsia="zh-CN"/>
        </w:rPr>
      </w:pPr>
      <w:r>
        <w:rPr>
          <w:rFonts w:hint="eastAsia" w:ascii="宋体" w:hAnsi="宋体" w:eastAsia="宋体" w:cs="Times New Roman"/>
          <w:color w:val="auto"/>
          <w:kern w:val="0"/>
          <w:sz w:val="28"/>
          <w:szCs w:val="28"/>
          <w:highlight w:val="none"/>
          <w:lang w:eastAsia="zh-CN"/>
        </w:rPr>
        <w:t>否决投标条款</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B0.总  则</w:t>
      </w:r>
    </w:p>
    <w:p>
      <w:pPr>
        <w:adjustRightInd w:val="0"/>
        <w:snapToGrid w:val="0"/>
        <w:spacing w:after="0" w:line="360" w:lineRule="auto"/>
        <w:ind w:firstLine="420" w:firstLineChars="200"/>
        <w:jc w:val="left"/>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本附件所集中列示的否决投标条款，是本章“评标办法”的组成部分，是对第二章“投标人须知”和本章正文部分所规定的否决投标条款的总结和补充，如果出现相互矛盾的情况，以本节的规定为准。</w:t>
      </w:r>
    </w:p>
    <w:p>
      <w:pPr>
        <w:adjustRightInd w:val="0"/>
        <w:snapToGrid w:val="0"/>
        <w:spacing w:after="0" w:line="360" w:lineRule="auto"/>
        <w:ind w:firstLine="0" w:firstLineChars="0"/>
        <w:jc w:val="left"/>
        <w:rPr>
          <w:rFonts w:ascii="宋体" w:hAnsi="宋体" w:eastAsia="宋体" w:cs="Times New Roman"/>
          <w:color w:val="auto"/>
          <w:kern w:val="0"/>
          <w:sz w:val="21"/>
          <w:szCs w:val="20"/>
          <w:highlight w:val="none"/>
          <w:lang w:eastAsia="zh-CN"/>
        </w:rPr>
      </w:pPr>
      <w:r>
        <w:rPr>
          <w:rFonts w:hint="eastAsia" w:ascii="宋体" w:hAnsi="宋体" w:eastAsia="宋体" w:cs="Times New Roman"/>
          <w:color w:val="auto"/>
          <w:kern w:val="0"/>
          <w:sz w:val="21"/>
          <w:szCs w:val="20"/>
          <w:highlight w:val="none"/>
          <w:lang w:eastAsia="zh-CN"/>
        </w:rPr>
        <w:t>B1.否决投标条款</w:t>
      </w:r>
    </w:p>
    <w:p>
      <w:pPr>
        <w:adjustRightInd w:val="0"/>
        <w:snapToGri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投标人或投标文件有下列情形之一的，其投标作否决投标处理：</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B1.1有串通投标或弄虚作假或有其他违法行为的。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B1.2不按评标委员会要求澄清、说明或补正的。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B1.3在形式评审、资格评审、响应性评审中，评标委员会认定投标人的投标文件不符合评标办法前附表中规定的任何一项评审标准的。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B1.4已标价的工程量清单（投标函除外）未签字盖章。</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B1.5评标委员会认定投标人以低于成本报价竞标的或者高于招标文件设定的最高投标限价的。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B1.6投标文件没有对招标文件提出的实质性要求和条件做出响应的。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B1.7明显不符合招标文件规定的技术标准的。</w:t>
      </w:r>
    </w:p>
    <w:p>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B1.8投标人不符合国家或者招标文件规定的资格条件的。</w:t>
      </w:r>
    </w:p>
    <w:p>
      <w:pPr>
        <w:spacing w:after="0" w:line="360" w:lineRule="auto"/>
        <w:ind w:firstLine="420" w:firstLineChars="200"/>
        <w:rPr>
          <w:rFonts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21"/>
          <w:szCs w:val="20"/>
          <w:highlight w:val="none"/>
          <w:lang w:eastAsia="zh-CN"/>
        </w:rPr>
        <w:t>B1.9投标人不按第二章第3.4.1项要求提交投标保证金的。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B1.10未加盖单位章或无法定代表人或法定代表人授权的代理人签字（章）的。</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B1.11 投标文件载明的招标项目完成期限超过招标文件规定的期限。</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B1.12未按规定的格式填写,内容不全或关键内容字迹模糊、无法辨认的,或无法区分正副本。</w:t>
      </w:r>
    </w:p>
    <w:p>
      <w:pPr>
        <w:spacing w:after="0" w:line="360" w:lineRule="auto"/>
        <w:ind w:firstLine="420" w:firstLineChars="200"/>
        <w:rPr>
          <w:rFonts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B1.13投标人工程量清单报价存在有漏项、缺项，且在投标文件中没有明确的阐述和承诺的。</w:t>
      </w:r>
    </w:p>
    <w:p>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B1.14 投标文件无质量承诺或质量承诺不满足招标文件的。</w:t>
      </w:r>
    </w:p>
    <w:p>
      <w:pPr>
        <w:spacing w:after="0" w:line="360" w:lineRule="auto"/>
        <w:ind w:firstLine="420" w:firstLineChars="200"/>
        <w:rPr>
          <w:rFonts w:hint="eastAsia" w:ascii="宋体" w:hAnsi="宋体" w:eastAsia="宋体" w:cs="Times New Roman"/>
          <w:bCs/>
          <w:color w:val="auto"/>
          <w:kern w:val="2"/>
          <w:sz w:val="21"/>
          <w:szCs w:val="20"/>
          <w:highlight w:val="none"/>
          <w:lang w:eastAsia="zh-CN"/>
        </w:rPr>
      </w:pPr>
      <w:r>
        <w:rPr>
          <w:rFonts w:hint="eastAsia" w:ascii="宋体" w:hAnsi="宋体" w:eastAsia="宋体" w:cs="Times New Roman"/>
          <w:bCs/>
          <w:color w:val="auto"/>
          <w:kern w:val="2"/>
          <w:sz w:val="21"/>
          <w:szCs w:val="20"/>
          <w:highlight w:val="none"/>
          <w:lang w:eastAsia="zh-CN"/>
        </w:rPr>
        <w:t>B1.15投标人递交两份或多份内容不同的投标文件，或在一份投标文件中对同一招标项目报有两个或多个报价，且未声明哪一个有效（按招标文件规定提交备选投标方案的除外）；</w:t>
      </w:r>
    </w:p>
    <w:p>
      <w:pPr>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bCs/>
          <w:color w:val="auto"/>
          <w:kern w:val="2"/>
          <w:sz w:val="21"/>
          <w:szCs w:val="20"/>
          <w:highlight w:val="none"/>
          <w:lang w:eastAsia="zh-CN"/>
        </w:rPr>
        <w:t>B1.16工程量清单报价中工程项目总价表中的单项工程费金额与相对应的单项工程费汇总表中</w:t>
      </w:r>
      <w:r>
        <w:rPr>
          <w:rFonts w:hint="eastAsia" w:ascii="宋体" w:hAnsi="宋体" w:eastAsia="宋体" w:cs="Times New Roman"/>
          <w:bCs/>
          <w:color w:val="auto"/>
          <w:kern w:val="2"/>
          <w:sz w:val="21"/>
          <w:szCs w:val="21"/>
          <w:highlight w:val="none"/>
          <w:lang w:eastAsia="zh-CN"/>
        </w:rPr>
        <w:t>合计金额不一致的，或单项工程费汇总表中的单位工程费金额与相对应的单位工程费汇总表中的合计金额不一致，或单位工程费汇总表中的各项清单计价合计（税金除外）与相对应的清单计价表中的合计金额不一致的（因四舍五入引起的计算误差可以视为细微偏差）。</w:t>
      </w:r>
    </w:p>
    <w:p>
      <w:pPr>
        <w:rPr>
          <w:rFonts w:ascii="宋体" w:hAnsi="宋体" w:eastAsia="宋体" w:cs="宋体"/>
          <w:color w:val="auto"/>
          <w:sz w:val="29"/>
          <w:szCs w:val="29"/>
          <w:highlight w:val="none"/>
        </w:rPr>
      </w:pPr>
    </w:p>
    <w:p>
      <w:pPr>
        <w:rPr>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184" w:name="第四章合同条款及格式"/>
      <w:bookmarkEnd w:id="184"/>
      <w:bookmarkStart w:id="185" w:name="_bookmark102"/>
      <w:bookmarkEnd w:id="185"/>
      <w:bookmarkStart w:id="186" w:name="_Toc9030"/>
      <w:bookmarkStart w:id="187" w:name="_Toc5201"/>
      <w:r>
        <w:rPr>
          <w:rFonts w:hint="eastAsia" w:asciiTheme="majorEastAsia" w:hAnsiTheme="majorEastAsia" w:eastAsiaTheme="majorEastAsia" w:cstheme="majorEastAsia"/>
          <w:b/>
          <w:bCs/>
          <w:color w:val="auto"/>
          <w:sz w:val="44"/>
          <w:szCs w:val="44"/>
          <w:highlight w:val="none"/>
        </w:rPr>
        <w:t>第四章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合同条款及格式</w:t>
      </w:r>
      <w:bookmarkEnd w:id="186"/>
      <w:bookmarkEnd w:id="187"/>
    </w:p>
    <w:p>
      <w:pPr>
        <w:keepNext/>
        <w:keepLines/>
        <w:widowControl w:val="0"/>
        <w:spacing w:line="360" w:lineRule="auto"/>
        <w:jc w:val="center"/>
        <w:outlineLvl w:val="2"/>
        <w:rPr>
          <w:rFonts w:hint="eastAsia" w:ascii="宋体" w:hAnsi="宋体" w:eastAsia="宋体" w:cs="Times New Roman"/>
          <w:b/>
          <w:color w:val="auto"/>
          <w:kern w:val="2"/>
          <w:sz w:val="24"/>
          <w:highlight w:val="none"/>
          <w:lang w:val="en-US" w:eastAsia="zh-CN" w:bidi="ar-SA"/>
        </w:rPr>
      </w:pPr>
      <w:bookmarkStart w:id="188" w:name="第一节 通用合同条款"/>
      <w:bookmarkEnd w:id="188"/>
      <w:bookmarkStart w:id="189" w:name="_bookmark103"/>
      <w:bookmarkEnd w:id="189"/>
      <w:bookmarkStart w:id="190" w:name="第二节专用合同条款"/>
      <w:bookmarkEnd w:id="190"/>
      <w:bookmarkStart w:id="191" w:name="第五章工程量清单"/>
      <w:bookmarkEnd w:id="191"/>
      <w:bookmarkStart w:id="192" w:name="_bookmark261"/>
      <w:bookmarkEnd w:id="192"/>
      <w:bookmarkStart w:id="193" w:name="第三节合同附件格式"/>
      <w:bookmarkEnd w:id="193"/>
      <w:bookmarkStart w:id="194" w:name="_bookmark259"/>
      <w:bookmarkEnd w:id="194"/>
      <w:bookmarkStart w:id="195" w:name="_bookmark260"/>
      <w:bookmarkEnd w:id="195"/>
      <w:bookmarkStart w:id="196" w:name="附件1：合同协议书"/>
      <w:bookmarkEnd w:id="196"/>
      <w:bookmarkStart w:id="197" w:name="_Toc401749503"/>
      <w:bookmarkStart w:id="198" w:name="_Toc138132560"/>
      <w:bookmarkStart w:id="199" w:name="_Toc135381015"/>
      <w:bookmarkStart w:id="200" w:name="_Toc29664"/>
      <w:r>
        <w:rPr>
          <w:rFonts w:hint="eastAsia" w:ascii="宋体" w:hAnsi="宋体" w:eastAsia="宋体" w:cs="Times New Roman"/>
          <w:b/>
          <w:color w:val="auto"/>
          <w:kern w:val="2"/>
          <w:sz w:val="24"/>
          <w:highlight w:val="none"/>
          <w:lang w:val="en-US" w:eastAsia="zh-CN" w:bidi="ar-SA"/>
        </w:rPr>
        <w:t>第一节  合同协议书</w:t>
      </w:r>
      <w:bookmarkEnd w:id="197"/>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根据《中华人民共和国民法典》、《中华人民共和国建筑法》及有关法律规定，遵循平等、自愿、公平和诚实信用的原则，双方就</w:t>
      </w:r>
      <w:r>
        <w:rPr>
          <w:rFonts w:hint="eastAsia" w:ascii="宋体" w:hAnsi="宋体" w:eastAsia="宋体" w:cs="Times New Roman"/>
          <w:color w:val="auto"/>
          <w:kern w:val="2"/>
          <w:sz w:val="21"/>
          <w:szCs w:val="21"/>
          <w:highlight w:val="none"/>
          <w:lang w:eastAsia="zh-CN"/>
        </w:rPr>
        <w:t>本</w:t>
      </w:r>
      <w:r>
        <w:rPr>
          <w:rFonts w:ascii="宋体" w:hAnsi="宋体" w:eastAsia="宋体" w:cs="Times New Roman"/>
          <w:color w:val="auto"/>
          <w:kern w:val="2"/>
          <w:sz w:val="21"/>
          <w:szCs w:val="21"/>
          <w:highlight w:val="none"/>
          <w:lang w:eastAsia="zh-CN"/>
        </w:rPr>
        <w:t>工程施工及有关事项协商一致</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lang w:eastAsia="zh-CN"/>
        </w:rPr>
        <w:t>共同达成如下协议：</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01" w:name="_Toc351203481"/>
      <w:r>
        <w:rPr>
          <w:rFonts w:ascii="宋体" w:hAnsi="宋体" w:eastAsia="宋体" w:cs="Times New Roman"/>
          <w:b w:val="0"/>
          <w:bCs/>
          <w:color w:val="auto"/>
          <w:kern w:val="2"/>
          <w:sz w:val="21"/>
          <w:szCs w:val="21"/>
          <w:highlight w:val="none"/>
          <w:lang w:val="en-US" w:eastAsia="zh-CN" w:bidi="ar-SA"/>
        </w:rPr>
        <w:t>一、工程概况</w:t>
      </w:r>
      <w:bookmarkEnd w:id="201"/>
    </w:p>
    <w:p>
      <w:pPr>
        <w:spacing w:after="0" w:line="360" w:lineRule="auto"/>
        <w:ind w:firstLine="420" w:firstLineChars="200"/>
        <w:jc w:val="left"/>
        <w:rPr>
          <w:rFonts w:ascii="宋体" w:hAnsi="宋体" w:eastAsia="宋体" w:cs="Times New Roman"/>
          <w:color w:val="auto"/>
          <w:kern w:val="2"/>
          <w:sz w:val="21"/>
          <w:szCs w:val="21"/>
          <w:highlight w:val="none"/>
          <w:u w:val="single"/>
          <w:lang w:eastAsia="zh-CN"/>
        </w:rPr>
      </w:pPr>
      <w:r>
        <w:rPr>
          <w:rFonts w:ascii="宋体" w:hAnsi="宋体" w:eastAsia="宋体" w:cs="Times New Roman"/>
          <w:bCs/>
          <w:color w:val="auto"/>
          <w:kern w:val="2"/>
          <w:sz w:val="21"/>
          <w:szCs w:val="21"/>
          <w:highlight w:val="none"/>
          <w:lang w:eastAsia="zh-CN"/>
        </w:rPr>
        <w:t>1.工程名称</w:t>
      </w:r>
      <w:r>
        <w:rPr>
          <w:rFonts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w:t>
      </w:r>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2.工程地点：</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w:t>
      </w:r>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3.工程立项批准文号：</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w:t>
      </w:r>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4.资金来源：</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w:t>
      </w:r>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5.工程内容：</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w:t>
      </w:r>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6</w:t>
      </w:r>
      <w:r>
        <w:rPr>
          <w:rFonts w:ascii="宋体" w:hAnsi="宋体" w:eastAsia="宋体" w:cs="Times New Roman"/>
          <w:bCs/>
          <w:color w:val="auto"/>
          <w:kern w:val="2"/>
          <w:sz w:val="21"/>
          <w:szCs w:val="21"/>
          <w:highlight w:val="none"/>
          <w:lang w:eastAsia="zh-CN"/>
        </w:rPr>
        <w:t>.工程承包范围：</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w:t>
      </w:r>
    </w:p>
    <w:p>
      <w:pPr>
        <w:keepNext/>
        <w:keepLines/>
        <w:widowControl w:val="0"/>
        <w:spacing w:before="280" w:after="290" w:line="360" w:lineRule="auto"/>
        <w:ind w:firstLine="420" w:firstLineChars="200"/>
        <w:jc w:val="left"/>
        <w:outlineLvl w:val="3"/>
        <w:rPr>
          <w:rFonts w:ascii="宋体" w:hAnsi="宋体" w:eastAsia="宋体" w:cs="Times New Roman"/>
          <w:b w:val="0"/>
          <w:bCs/>
          <w:color w:val="auto"/>
          <w:kern w:val="2"/>
          <w:sz w:val="21"/>
          <w:szCs w:val="21"/>
          <w:highlight w:val="none"/>
          <w:lang w:val="en-US" w:eastAsia="zh-CN" w:bidi="ar-SA"/>
        </w:rPr>
      </w:pPr>
      <w:bookmarkStart w:id="202" w:name="_Toc351203482"/>
      <w:r>
        <w:rPr>
          <w:rFonts w:ascii="宋体" w:hAnsi="宋体" w:eastAsia="宋体" w:cs="Times New Roman"/>
          <w:b w:val="0"/>
          <w:bCs/>
          <w:color w:val="auto"/>
          <w:kern w:val="2"/>
          <w:sz w:val="21"/>
          <w:szCs w:val="21"/>
          <w:highlight w:val="none"/>
          <w:lang w:val="en-US" w:eastAsia="zh-CN" w:bidi="ar-SA"/>
        </w:rPr>
        <w:t>二、合同工期</w:t>
      </w:r>
      <w:bookmarkEnd w:id="202"/>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计划开工日期：</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年</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月</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日。</w:t>
      </w:r>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计划竣工日期：</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年</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月</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日。</w:t>
      </w:r>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工期总日历天数：</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天。工期总日历天数与根据前述计划开竣工日期计算的工期天数不一致的，以工期总日历天数为准。</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03" w:name="_Toc351203483"/>
      <w:r>
        <w:rPr>
          <w:rFonts w:ascii="宋体" w:hAnsi="宋体" w:eastAsia="宋体" w:cs="Times New Roman"/>
          <w:b w:val="0"/>
          <w:bCs/>
          <w:color w:val="auto"/>
          <w:kern w:val="2"/>
          <w:sz w:val="21"/>
          <w:szCs w:val="21"/>
          <w:highlight w:val="none"/>
          <w:lang w:val="en-US" w:eastAsia="zh-CN" w:bidi="ar-SA"/>
        </w:rPr>
        <w:t>三、质量标准</w:t>
      </w:r>
      <w:bookmarkEnd w:id="203"/>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工程质量符合</w:t>
      </w:r>
      <w:r>
        <w:rPr>
          <w:rFonts w:ascii="宋体" w:hAnsi="宋体" w:eastAsia="宋体" w:cs="Times New Roman"/>
          <w:color w:val="auto"/>
          <w:kern w:val="2"/>
          <w:sz w:val="21"/>
          <w:szCs w:val="21"/>
          <w:highlight w:val="none"/>
          <w:u w:val="single"/>
          <w:lang w:eastAsia="zh-CN"/>
        </w:rPr>
        <w:t></w:t>
      </w:r>
      <w:r>
        <w:rPr>
          <w:rFonts w:ascii="宋体" w:hAnsi="宋体" w:eastAsia="宋体" w:cs="Times New Roman"/>
          <w:color w:val="auto"/>
          <w:kern w:val="2"/>
          <w:sz w:val="21"/>
          <w:szCs w:val="21"/>
          <w:highlight w:val="none"/>
          <w:lang w:eastAsia="zh-CN"/>
        </w:rPr>
        <w:t>标准。</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04" w:name="_Toc351203484"/>
      <w:r>
        <w:rPr>
          <w:rFonts w:ascii="宋体" w:hAnsi="宋体" w:eastAsia="宋体" w:cs="Times New Roman"/>
          <w:b w:val="0"/>
          <w:bCs/>
          <w:color w:val="auto"/>
          <w:kern w:val="2"/>
          <w:sz w:val="21"/>
          <w:szCs w:val="21"/>
          <w:highlight w:val="none"/>
          <w:lang w:val="en-US" w:eastAsia="zh-CN" w:bidi="ar-SA"/>
        </w:rPr>
        <w:t>四、签约合同价与合同价格形式</w:t>
      </w:r>
      <w:bookmarkEnd w:id="204"/>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暂定</w:t>
      </w:r>
      <w:r>
        <w:rPr>
          <w:rFonts w:ascii="宋体" w:hAnsi="宋体" w:eastAsia="宋体" w:cs="Times New Roman"/>
          <w:color w:val="auto"/>
          <w:kern w:val="2"/>
          <w:sz w:val="21"/>
          <w:szCs w:val="21"/>
          <w:highlight w:val="none"/>
          <w:lang w:eastAsia="zh-CN"/>
        </w:rPr>
        <w:t>合同价为：人民币（大写）</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lang w:eastAsia="zh-CN"/>
        </w:rPr>
        <w:t>元)</w:t>
      </w:r>
      <w:r>
        <w:rPr>
          <w:rFonts w:hint="eastAsia" w:ascii="宋体" w:hAnsi="宋体" w:eastAsia="宋体" w:cs="Times New Roman"/>
          <w:color w:val="auto"/>
          <w:kern w:val="2"/>
          <w:sz w:val="21"/>
          <w:szCs w:val="21"/>
          <w:highlight w:val="none"/>
          <w:lang w:eastAsia="zh-CN"/>
        </w:rPr>
        <w:t>。</w:t>
      </w:r>
    </w:p>
    <w:p>
      <w:pPr>
        <w:keepNext/>
        <w:keepLines/>
        <w:widowControl w:val="0"/>
        <w:spacing w:before="280" w:after="290" w:line="360" w:lineRule="auto"/>
        <w:ind w:firstLine="420" w:firstLineChars="200"/>
        <w:jc w:val="left"/>
        <w:outlineLvl w:val="3"/>
        <w:rPr>
          <w:rFonts w:ascii="宋体" w:hAnsi="宋体" w:eastAsia="宋体" w:cs="Times New Roman"/>
          <w:b w:val="0"/>
          <w:bCs/>
          <w:color w:val="auto"/>
          <w:kern w:val="2"/>
          <w:sz w:val="21"/>
          <w:szCs w:val="21"/>
          <w:highlight w:val="none"/>
          <w:lang w:val="en-US" w:eastAsia="zh-CN" w:bidi="ar-SA"/>
        </w:rPr>
      </w:pPr>
      <w:bookmarkStart w:id="205" w:name="_Toc351203485"/>
      <w:r>
        <w:rPr>
          <w:rFonts w:ascii="宋体" w:hAnsi="宋体" w:eastAsia="宋体" w:cs="Times New Roman"/>
          <w:b w:val="0"/>
          <w:bCs/>
          <w:color w:val="auto"/>
          <w:kern w:val="2"/>
          <w:sz w:val="21"/>
          <w:szCs w:val="21"/>
          <w:highlight w:val="none"/>
          <w:lang w:val="en-US" w:eastAsia="zh-CN" w:bidi="ar-SA"/>
        </w:rPr>
        <w:t>五、</w:t>
      </w:r>
      <w:bookmarkEnd w:id="205"/>
      <w:r>
        <w:rPr>
          <w:rFonts w:hint="eastAsia" w:ascii="宋体" w:hAnsi="宋体" w:eastAsia="宋体" w:cs="Times New Roman"/>
          <w:b w:val="0"/>
          <w:bCs/>
          <w:color w:val="auto"/>
          <w:kern w:val="2"/>
          <w:sz w:val="21"/>
          <w:szCs w:val="21"/>
          <w:highlight w:val="none"/>
          <w:lang w:val="en-US" w:eastAsia="zh-CN" w:bidi="ar-SA"/>
        </w:rPr>
        <w:t>项目负责人</w:t>
      </w:r>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承包人</w:t>
      </w:r>
      <w:r>
        <w:rPr>
          <w:rFonts w:hint="eastAsia" w:ascii="宋体" w:hAnsi="宋体" w:eastAsia="宋体" w:cs="Times New Roman"/>
          <w:color w:val="auto"/>
          <w:kern w:val="2"/>
          <w:sz w:val="21"/>
          <w:szCs w:val="21"/>
          <w:highlight w:val="none"/>
          <w:lang w:eastAsia="zh-CN"/>
        </w:rPr>
        <w:t>项目负责人</w:t>
      </w:r>
      <w:r>
        <w:rPr>
          <w:rFonts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 xml:space="preserve"> </w:t>
      </w:r>
      <w:r>
        <w:rPr>
          <w:rFonts w:ascii="宋体" w:hAnsi="宋体" w:eastAsia="宋体" w:cs="Times New Roman"/>
          <w:color w:val="auto"/>
          <w:kern w:val="2"/>
          <w:sz w:val="21"/>
          <w:szCs w:val="21"/>
          <w:highlight w:val="none"/>
          <w:u w:val="single"/>
          <w:lang w:eastAsia="zh-CN"/>
        </w:rPr>
        <w:t>    </w:t>
      </w:r>
      <w:r>
        <w:rPr>
          <w:rFonts w:ascii="宋体" w:hAnsi="宋体" w:eastAsia="宋体" w:cs="Times New Roman"/>
          <w:color w:val="auto"/>
          <w:kern w:val="2"/>
          <w:sz w:val="21"/>
          <w:szCs w:val="21"/>
          <w:highlight w:val="none"/>
          <w:lang w:eastAsia="zh-CN"/>
        </w:rPr>
        <w:t>。</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06" w:name="_Toc351203486"/>
      <w:r>
        <w:rPr>
          <w:rFonts w:ascii="宋体" w:hAnsi="宋体" w:eastAsia="宋体" w:cs="Times New Roman"/>
          <w:b w:val="0"/>
          <w:bCs/>
          <w:color w:val="auto"/>
          <w:kern w:val="2"/>
          <w:sz w:val="21"/>
          <w:szCs w:val="21"/>
          <w:highlight w:val="none"/>
          <w:lang w:val="en-US" w:eastAsia="zh-CN" w:bidi="ar-SA"/>
        </w:rPr>
        <w:t>六、合同文件构成</w:t>
      </w:r>
      <w:bookmarkEnd w:id="206"/>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本协议书与下列文件一起构成合同文件：</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（1）中标通知书（如果有）；</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 xml:space="preserve">（2）投标函及其附录（如果有）； </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（3）专用合同条款及其附件；</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（4）通用合同条款；</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（5）技术标准和要求；</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（6）图纸；</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（7）已标价工程量清单或预算书</w:t>
      </w:r>
      <w:r>
        <w:rPr>
          <w:rFonts w:hint="eastAsia" w:ascii="宋体" w:hAnsi="宋体" w:eastAsia="宋体" w:cs="Times New Roman"/>
          <w:color w:val="auto"/>
          <w:kern w:val="2"/>
          <w:sz w:val="21"/>
          <w:szCs w:val="21"/>
          <w:highlight w:val="none"/>
          <w:lang w:eastAsia="zh-CN"/>
        </w:rPr>
        <w:t>（如有）</w:t>
      </w:r>
      <w:r>
        <w:rPr>
          <w:rFonts w:ascii="宋体" w:hAnsi="宋体" w:eastAsia="宋体" w:cs="Times New Roman"/>
          <w:color w:val="auto"/>
          <w:kern w:val="2"/>
          <w:sz w:val="21"/>
          <w:szCs w:val="21"/>
          <w:highlight w:val="none"/>
          <w:lang w:eastAsia="zh-CN"/>
        </w:rPr>
        <w:t>；</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（8）其他合同文件。</w:t>
      </w:r>
    </w:p>
    <w:p>
      <w:pPr>
        <w:autoSpaceDE w:val="0"/>
        <w:autoSpaceDN w:val="0"/>
        <w:adjustRightInd w:val="0"/>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ascii="宋体" w:hAnsi="宋体" w:eastAsia="宋体" w:cs="Times New Roman"/>
          <w:color w:val="auto"/>
          <w:kern w:val="2"/>
          <w:sz w:val="21"/>
          <w:szCs w:val="21"/>
          <w:highlight w:val="none"/>
          <w:lang w:eastAsia="zh-CN"/>
        </w:rPr>
        <w:t>在合同订立及履行过程中形成的与合同有关的文件均构成合同文件组成部分。</w:t>
      </w:r>
    </w:p>
    <w:p>
      <w:pPr>
        <w:pStyle w:val="8"/>
        <w:spacing w:after="0" w:line="560" w:lineRule="exact"/>
        <w:ind w:firstLineChars="0"/>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上述各项合同文件包括合同当事人就该项合同文件所做出的补充和修改，属于同一类内容的文件，应以最新签署的为准。在合同订立及履行过程中形成的与合同有关的文件构成合同文件组成部分，并根据其性质确定优先解释顺序。</w:t>
      </w:r>
    </w:p>
    <w:p>
      <w:pPr>
        <w:keepNext/>
        <w:keepLines/>
        <w:widowControl w:val="0"/>
        <w:spacing w:before="280" w:after="290" w:line="360" w:lineRule="auto"/>
        <w:ind w:firstLine="420" w:firstLineChars="200"/>
        <w:jc w:val="left"/>
        <w:outlineLvl w:val="3"/>
        <w:rPr>
          <w:rFonts w:ascii="宋体" w:hAnsi="宋体" w:eastAsia="宋体" w:cs="Times New Roman"/>
          <w:b w:val="0"/>
          <w:bCs/>
          <w:color w:val="auto"/>
          <w:kern w:val="2"/>
          <w:sz w:val="21"/>
          <w:szCs w:val="21"/>
          <w:highlight w:val="none"/>
          <w:lang w:val="en-US" w:eastAsia="zh-CN" w:bidi="ar-SA"/>
        </w:rPr>
      </w:pPr>
      <w:r>
        <w:rPr>
          <w:rFonts w:ascii="宋体" w:hAnsi="宋体" w:eastAsia="宋体" w:cs="Times New Roman"/>
          <w:b w:val="0"/>
          <w:bCs/>
          <w:color w:val="auto"/>
          <w:kern w:val="2"/>
          <w:sz w:val="21"/>
          <w:szCs w:val="21"/>
          <w:highlight w:val="none"/>
          <w:lang w:val="en-US" w:eastAsia="zh-CN" w:bidi="ar-SA"/>
        </w:rPr>
        <w:t>七、工程质量保</w:t>
      </w:r>
      <w:r>
        <w:rPr>
          <w:rFonts w:hint="eastAsia" w:ascii="宋体" w:hAnsi="宋体" w:eastAsia="宋体" w:cs="Times New Roman"/>
          <w:b w:val="0"/>
          <w:bCs/>
          <w:color w:val="auto"/>
          <w:kern w:val="2"/>
          <w:sz w:val="21"/>
          <w:szCs w:val="21"/>
          <w:highlight w:val="none"/>
          <w:lang w:val="en-US" w:eastAsia="zh-CN" w:bidi="ar-SA"/>
        </w:rPr>
        <w:t>修</w:t>
      </w:r>
      <w:r>
        <w:rPr>
          <w:rFonts w:ascii="宋体" w:hAnsi="宋体" w:eastAsia="宋体" w:cs="Times New Roman"/>
          <w:b w:val="0"/>
          <w:bCs/>
          <w:color w:val="auto"/>
          <w:kern w:val="2"/>
          <w:sz w:val="21"/>
          <w:szCs w:val="21"/>
          <w:highlight w:val="none"/>
          <w:lang w:val="en-US" w:eastAsia="zh-CN" w:bidi="ar-SA"/>
        </w:rPr>
        <w:t>金</w:t>
      </w:r>
      <w:r>
        <w:rPr>
          <w:rFonts w:hint="eastAsia" w:ascii="宋体" w:hAnsi="宋体" w:eastAsia="宋体" w:cs="Times New Roman"/>
          <w:b w:val="0"/>
          <w:bCs/>
          <w:color w:val="auto"/>
          <w:kern w:val="2"/>
          <w:sz w:val="21"/>
          <w:szCs w:val="21"/>
          <w:highlight w:val="none"/>
          <w:lang w:val="en-US" w:eastAsia="zh-CN" w:bidi="ar-SA"/>
        </w:rPr>
        <w:t>、履约保证金</w:t>
      </w:r>
      <w:r>
        <w:rPr>
          <w:rFonts w:ascii="宋体" w:hAnsi="宋体" w:eastAsia="宋体" w:cs="Times New Roman"/>
          <w:b w:val="0"/>
          <w:bCs/>
          <w:color w:val="auto"/>
          <w:kern w:val="2"/>
          <w:sz w:val="21"/>
          <w:szCs w:val="21"/>
          <w:highlight w:val="none"/>
          <w:lang w:val="en-US" w:eastAsia="zh-CN" w:bidi="ar-SA"/>
        </w:rPr>
        <w:t>及期限</w:t>
      </w:r>
    </w:p>
    <w:p>
      <w:pPr>
        <w:spacing w:after="0" w:line="560" w:lineRule="exact"/>
        <w:ind w:firstLine="420" w:firstLineChars="200"/>
        <w:rPr>
          <w:rFonts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lang w:eastAsia="zh-CN"/>
        </w:rPr>
        <w:t>1.</w:t>
      </w:r>
      <w:r>
        <w:rPr>
          <w:rFonts w:hint="eastAsia" w:ascii="宋体" w:hAnsi="宋体" w:eastAsia="宋体" w:cs="Times New Roman"/>
          <w:color w:val="auto"/>
          <w:kern w:val="0"/>
          <w:sz w:val="21"/>
          <w:szCs w:val="21"/>
          <w:highlight w:val="none"/>
          <w:lang w:eastAsia="zh-CN"/>
        </w:rPr>
        <w:t>本工程约定的</w:t>
      </w:r>
      <w:r>
        <w:rPr>
          <w:rFonts w:ascii="宋体" w:hAnsi="宋体" w:eastAsia="宋体" w:cs="Times New Roman"/>
          <w:color w:val="auto"/>
          <w:kern w:val="0"/>
          <w:sz w:val="21"/>
          <w:szCs w:val="21"/>
          <w:highlight w:val="none"/>
          <w:lang w:eastAsia="zh-Hans"/>
        </w:rPr>
        <w:t>质量</w:t>
      </w:r>
      <w:r>
        <w:rPr>
          <w:rFonts w:ascii="宋体" w:hAnsi="宋体" w:eastAsia="宋体" w:cs="Times New Roman"/>
          <w:color w:val="auto"/>
          <w:kern w:val="0"/>
          <w:sz w:val="21"/>
          <w:szCs w:val="21"/>
          <w:highlight w:val="none"/>
          <w:lang w:eastAsia="zh-CN"/>
        </w:rPr>
        <w:t>保</w:t>
      </w:r>
      <w:r>
        <w:rPr>
          <w:rFonts w:hint="eastAsia" w:ascii="宋体" w:hAnsi="宋体" w:eastAsia="宋体" w:cs="Times New Roman"/>
          <w:color w:val="auto"/>
          <w:kern w:val="0"/>
          <w:sz w:val="21"/>
          <w:szCs w:val="21"/>
          <w:highlight w:val="none"/>
          <w:lang w:eastAsia="zh-CN"/>
        </w:rPr>
        <w:t>修</w:t>
      </w:r>
      <w:r>
        <w:rPr>
          <w:rFonts w:ascii="宋体" w:hAnsi="宋体" w:eastAsia="宋体" w:cs="Times New Roman"/>
          <w:color w:val="auto"/>
          <w:kern w:val="0"/>
          <w:sz w:val="21"/>
          <w:szCs w:val="21"/>
          <w:highlight w:val="none"/>
          <w:lang w:eastAsia="zh-CN"/>
        </w:rPr>
        <w:t>金为</w:t>
      </w:r>
      <w:r>
        <w:rPr>
          <w:rFonts w:hint="eastAsia" w:ascii="宋体" w:hAnsi="宋体" w:eastAsia="宋体" w:cs="Times New Roman"/>
          <w:color w:val="auto"/>
          <w:kern w:val="0"/>
          <w:sz w:val="21"/>
          <w:szCs w:val="21"/>
          <w:highlight w:val="none"/>
          <w:lang w:eastAsia="zh-CN"/>
        </w:rPr>
        <w:t>工程审定结算价款的3%</w:t>
      </w:r>
      <w:r>
        <w:rPr>
          <w:rFonts w:ascii="宋体" w:hAnsi="宋体" w:eastAsia="宋体" w:cs="Times New Roman"/>
          <w:color w:val="auto"/>
          <w:kern w:val="0"/>
          <w:sz w:val="21"/>
          <w:szCs w:val="21"/>
          <w:highlight w:val="none"/>
          <w:lang w:eastAsia="zh-CN"/>
        </w:rPr>
        <w:t>；</w:t>
      </w:r>
    </w:p>
    <w:p>
      <w:pPr>
        <w:spacing w:after="0" w:line="560" w:lineRule="exact"/>
        <w:ind w:firstLine="420" w:firstLineChars="200"/>
        <w:rPr>
          <w:rFonts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eastAsia="zh-CN"/>
        </w:rPr>
        <w:t>2.质量保修期为工程实际竣工并经发包人验收合格之日起</w:t>
      </w:r>
      <w:r>
        <w:rPr>
          <w:rFonts w:ascii="宋体" w:hAnsi="宋体" w:eastAsia="宋体" w:cs="Times New Roman"/>
          <w:color w:val="auto"/>
          <w:kern w:val="0"/>
          <w:sz w:val="21"/>
          <w:szCs w:val="21"/>
          <w:highlight w:val="none"/>
          <w:lang w:eastAsia="zh-CN"/>
        </w:rPr>
        <w:t>2</w:t>
      </w:r>
      <w:r>
        <w:rPr>
          <w:rFonts w:hint="eastAsia" w:ascii="宋体" w:hAnsi="宋体" w:eastAsia="宋体" w:cs="Times New Roman"/>
          <w:color w:val="auto"/>
          <w:kern w:val="0"/>
          <w:sz w:val="21"/>
          <w:szCs w:val="21"/>
          <w:highlight w:val="none"/>
          <w:lang w:eastAsia="zh-CN"/>
        </w:rPr>
        <w:t>年；</w:t>
      </w:r>
    </w:p>
    <w:p>
      <w:pPr>
        <w:spacing w:after="0" w:line="560" w:lineRule="exact"/>
        <w:ind w:firstLine="420" w:firstLineChars="200"/>
        <w:rPr>
          <w:rFonts w:ascii="宋体" w:hAnsi="宋体" w:eastAsia="宋体" w:cs="Times New Roman"/>
          <w:color w:val="auto"/>
          <w:kern w:val="0"/>
          <w:sz w:val="21"/>
          <w:szCs w:val="21"/>
          <w:highlight w:val="none"/>
          <w:lang w:eastAsia="zh-CN"/>
        </w:rPr>
      </w:pPr>
      <w:r>
        <w:rPr>
          <w:rFonts w:ascii="宋体" w:hAnsi="宋体" w:eastAsia="宋体" w:cs="Times New Roman"/>
          <w:color w:val="auto"/>
          <w:kern w:val="0"/>
          <w:sz w:val="21"/>
          <w:szCs w:val="21"/>
          <w:highlight w:val="none"/>
          <w:lang w:eastAsia="zh-CN"/>
        </w:rPr>
        <w:t>3.</w:t>
      </w:r>
      <w:r>
        <w:rPr>
          <w:rFonts w:ascii="宋体" w:hAnsi="宋体" w:eastAsia="宋体" w:cs="Times New Roman"/>
          <w:color w:val="auto"/>
          <w:kern w:val="0"/>
          <w:sz w:val="21"/>
          <w:szCs w:val="21"/>
          <w:highlight w:val="none"/>
          <w:lang w:eastAsia="zh-Hans"/>
        </w:rPr>
        <w:t>质量</w:t>
      </w:r>
      <w:r>
        <w:rPr>
          <w:rFonts w:ascii="宋体" w:hAnsi="宋体" w:eastAsia="宋体" w:cs="Times New Roman"/>
          <w:color w:val="auto"/>
          <w:kern w:val="0"/>
          <w:sz w:val="21"/>
          <w:szCs w:val="21"/>
          <w:highlight w:val="none"/>
          <w:lang w:eastAsia="zh-CN"/>
        </w:rPr>
        <w:t>保</w:t>
      </w:r>
      <w:r>
        <w:rPr>
          <w:rFonts w:hint="eastAsia" w:ascii="宋体" w:hAnsi="宋体" w:eastAsia="宋体" w:cs="Times New Roman"/>
          <w:color w:val="auto"/>
          <w:kern w:val="0"/>
          <w:sz w:val="21"/>
          <w:szCs w:val="21"/>
          <w:highlight w:val="none"/>
          <w:lang w:eastAsia="zh-CN"/>
        </w:rPr>
        <w:t>修</w:t>
      </w:r>
      <w:r>
        <w:rPr>
          <w:rFonts w:ascii="宋体" w:hAnsi="宋体" w:eastAsia="宋体" w:cs="Times New Roman"/>
          <w:color w:val="auto"/>
          <w:kern w:val="0"/>
          <w:sz w:val="21"/>
          <w:szCs w:val="21"/>
          <w:highlight w:val="none"/>
          <w:lang w:eastAsia="zh-CN"/>
        </w:rPr>
        <w:t>金退还时间：质保期内无工程质量问题，质保期结束后无息返还承包人；</w:t>
      </w:r>
    </w:p>
    <w:p>
      <w:pPr>
        <w:spacing w:after="0" w:line="560" w:lineRule="exact"/>
        <w:ind w:firstLine="420" w:firstLineChars="200"/>
        <w:rPr>
          <w:rFonts w:ascii="宋体" w:hAnsi="宋体" w:eastAsia="宋体" w:cs="Times New Roman"/>
          <w:color w:val="auto"/>
          <w:kern w:val="2"/>
          <w:sz w:val="22"/>
          <w:szCs w:val="21"/>
          <w:highlight w:val="none"/>
          <w:lang w:eastAsia="zh-CN"/>
        </w:rPr>
      </w:pPr>
      <w:r>
        <w:rPr>
          <w:rFonts w:hint="eastAsia" w:ascii="宋体" w:hAnsi="宋体" w:eastAsia="宋体" w:cs="Times New Roman"/>
          <w:color w:val="auto"/>
          <w:kern w:val="0"/>
          <w:sz w:val="21"/>
          <w:szCs w:val="21"/>
          <w:highlight w:val="none"/>
          <w:lang w:eastAsia="zh-CN"/>
        </w:rPr>
        <w:t>4.承包人须在合同签订</w:t>
      </w:r>
      <w:r>
        <w:rPr>
          <w:rFonts w:hint="eastAsia" w:ascii="宋体" w:hAnsi="宋体" w:eastAsia="宋体" w:cs="Times New Roman"/>
          <w:color w:val="auto"/>
          <w:kern w:val="0"/>
          <w:sz w:val="21"/>
          <w:szCs w:val="21"/>
          <w:highlight w:val="none"/>
          <w:lang w:val="en-US" w:eastAsia="zh-CN"/>
        </w:rPr>
        <w:t>前</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个工作日内向发包人缴纳中标金额</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lang w:eastAsia="zh-CN"/>
        </w:rPr>
        <w:t>%的履约保证金，履约保证金在</w:t>
      </w:r>
      <w:r>
        <w:rPr>
          <w:rFonts w:ascii="宋体" w:hAnsi="宋体" w:eastAsia="宋体" w:cs="Times New Roman"/>
          <w:color w:val="auto"/>
          <w:kern w:val="0"/>
          <w:sz w:val="21"/>
          <w:szCs w:val="21"/>
          <w:highlight w:val="none"/>
          <w:lang w:eastAsia="zh-CN"/>
        </w:rPr>
        <w:t>工程完工初验后</w:t>
      </w:r>
      <w:r>
        <w:rPr>
          <w:rFonts w:hint="eastAsia" w:ascii="宋体" w:hAnsi="宋体" w:eastAsia="宋体" w:cs="Times New Roman"/>
          <w:color w:val="auto"/>
          <w:kern w:val="0"/>
          <w:sz w:val="21"/>
          <w:szCs w:val="21"/>
          <w:highlight w:val="none"/>
          <w:lang w:eastAsia="zh-CN"/>
        </w:rPr>
        <w:t>发包人一次性无息</w:t>
      </w:r>
      <w:r>
        <w:rPr>
          <w:rFonts w:ascii="宋体" w:hAnsi="宋体" w:eastAsia="宋体" w:cs="Times New Roman"/>
          <w:color w:val="auto"/>
          <w:kern w:val="0"/>
          <w:sz w:val="21"/>
          <w:szCs w:val="21"/>
          <w:highlight w:val="none"/>
          <w:lang w:eastAsia="zh-CN"/>
        </w:rPr>
        <w:t>退还</w:t>
      </w:r>
      <w:r>
        <w:rPr>
          <w:rFonts w:hint="eastAsia" w:ascii="宋体" w:hAnsi="宋体" w:eastAsia="宋体" w:cs="Times New Roman"/>
          <w:color w:val="auto"/>
          <w:kern w:val="0"/>
          <w:sz w:val="21"/>
          <w:szCs w:val="21"/>
          <w:highlight w:val="none"/>
          <w:lang w:eastAsia="zh-CN"/>
        </w:rPr>
        <w:t>承包人。</w:t>
      </w:r>
    </w:p>
    <w:p>
      <w:pPr>
        <w:keepNext/>
        <w:keepLines/>
        <w:widowControl w:val="0"/>
        <w:spacing w:before="280" w:after="290" w:line="360" w:lineRule="auto"/>
        <w:ind w:firstLine="420" w:firstLineChars="200"/>
        <w:jc w:val="left"/>
        <w:outlineLvl w:val="3"/>
        <w:rPr>
          <w:rFonts w:ascii="宋体" w:hAnsi="宋体" w:eastAsia="宋体" w:cs="Times New Roman"/>
          <w:b w:val="0"/>
          <w:bCs w:val="0"/>
          <w:color w:val="auto"/>
          <w:kern w:val="2"/>
          <w:sz w:val="21"/>
          <w:szCs w:val="21"/>
          <w:highlight w:val="none"/>
          <w:lang w:val="en-US" w:eastAsia="zh-CN" w:bidi="ar-SA"/>
        </w:rPr>
      </w:pPr>
      <w:bookmarkStart w:id="207" w:name="_Toc351203487"/>
      <w:r>
        <w:rPr>
          <w:rFonts w:hint="eastAsia" w:ascii="宋体" w:hAnsi="宋体" w:eastAsia="宋体" w:cs="Times New Roman"/>
          <w:b w:val="0"/>
          <w:bCs/>
          <w:color w:val="auto"/>
          <w:kern w:val="2"/>
          <w:sz w:val="21"/>
          <w:szCs w:val="21"/>
          <w:highlight w:val="none"/>
          <w:lang w:val="en-US" w:eastAsia="zh-CN" w:bidi="ar-SA"/>
        </w:rPr>
        <w:t>八</w:t>
      </w:r>
      <w:r>
        <w:rPr>
          <w:rFonts w:ascii="宋体" w:hAnsi="宋体" w:eastAsia="宋体" w:cs="Times New Roman"/>
          <w:b w:val="0"/>
          <w:bCs/>
          <w:color w:val="auto"/>
          <w:kern w:val="2"/>
          <w:sz w:val="21"/>
          <w:szCs w:val="21"/>
          <w:highlight w:val="none"/>
          <w:lang w:val="en-US" w:eastAsia="zh-CN" w:bidi="ar-SA"/>
        </w:rPr>
        <w:t>、承诺</w:t>
      </w:r>
      <w:bookmarkEnd w:id="207"/>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1.发包人承诺按照法律规定履行项目审批手续、筹集工程建设资金并按照合同约定的期限和方式支付合同价款。</w:t>
      </w:r>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2.承包人承诺按照法律规定及合同约定组织完成工程施工，确保工程质量和安全，不进行转包及违法分包，并在缺陷责任期及保修期内承担相应的工程维修责任。</w:t>
      </w:r>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3.发包人和承包人通过招投标形式签订合同的，双方理解并</w:t>
      </w:r>
      <w:r>
        <w:rPr>
          <w:rFonts w:hint="eastAsia" w:ascii="宋体" w:hAnsi="宋体" w:eastAsia="宋体" w:cs="Times New Roman"/>
          <w:bCs/>
          <w:color w:val="auto"/>
          <w:kern w:val="2"/>
          <w:sz w:val="21"/>
          <w:szCs w:val="21"/>
          <w:highlight w:val="none"/>
          <w:lang w:eastAsia="zh-CN"/>
        </w:rPr>
        <w:t>承诺</w:t>
      </w:r>
      <w:r>
        <w:rPr>
          <w:rFonts w:ascii="宋体" w:hAnsi="宋体" w:eastAsia="宋体" w:cs="Times New Roman"/>
          <w:bCs/>
          <w:color w:val="auto"/>
          <w:kern w:val="2"/>
          <w:sz w:val="21"/>
          <w:szCs w:val="21"/>
          <w:highlight w:val="none"/>
          <w:lang w:eastAsia="zh-CN"/>
        </w:rPr>
        <w:t>不再就同一工程另行签订与合同实质性内容相背离的协议。</w:t>
      </w:r>
    </w:p>
    <w:p>
      <w:pPr>
        <w:keepNext/>
        <w:keepLines/>
        <w:widowControl w:val="0"/>
        <w:spacing w:before="280" w:after="290" w:line="360" w:lineRule="auto"/>
        <w:ind w:firstLine="420" w:firstLineChars="200"/>
        <w:jc w:val="left"/>
        <w:outlineLvl w:val="3"/>
        <w:rPr>
          <w:rFonts w:ascii="宋体" w:hAnsi="宋体" w:eastAsia="宋体" w:cs="Times New Roman"/>
          <w:b w:val="0"/>
          <w:bCs/>
          <w:color w:val="auto"/>
          <w:kern w:val="2"/>
          <w:sz w:val="21"/>
          <w:szCs w:val="21"/>
          <w:highlight w:val="none"/>
          <w:lang w:val="en-US" w:eastAsia="zh-CN" w:bidi="ar-SA"/>
        </w:rPr>
      </w:pPr>
      <w:bookmarkStart w:id="208" w:name="_Toc351203488"/>
      <w:r>
        <w:rPr>
          <w:rFonts w:hint="eastAsia" w:ascii="宋体" w:hAnsi="宋体" w:eastAsia="宋体" w:cs="Times New Roman"/>
          <w:b w:val="0"/>
          <w:bCs/>
          <w:color w:val="auto"/>
          <w:kern w:val="2"/>
          <w:sz w:val="21"/>
          <w:szCs w:val="21"/>
          <w:highlight w:val="none"/>
          <w:lang w:val="en-US" w:eastAsia="zh-CN" w:bidi="ar-SA"/>
        </w:rPr>
        <w:t>九</w:t>
      </w:r>
      <w:r>
        <w:rPr>
          <w:rFonts w:ascii="宋体" w:hAnsi="宋体" w:eastAsia="宋体" w:cs="Times New Roman"/>
          <w:b w:val="0"/>
          <w:bCs/>
          <w:color w:val="auto"/>
          <w:kern w:val="2"/>
          <w:sz w:val="21"/>
          <w:szCs w:val="21"/>
          <w:highlight w:val="none"/>
          <w:lang w:val="en-US" w:eastAsia="zh-CN" w:bidi="ar-SA"/>
        </w:rPr>
        <w:t>、词语含义</w:t>
      </w:r>
      <w:bookmarkEnd w:id="208"/>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本协议书中词语含义与第二部分通用合同条款中赋予的含义相同。</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09" w:name="_Toc351203489"/>
      <w:r>
        <w:rPr>
          <w:rFonts w:hint="eastAsia" w:ascii="宋体" w:hAnsi="宋体" w:eastAsia="宋体" w:cs="Times New Roman"/>
          <w:b w:val="0"/>
          <w:bCs/>
          <w:color w:val="auto"/>
          <w:kern w:val="2"/>
          <w:sz w:val="21"/>
          <w:szCs w:val="21"/>
          <w:highlight w:val="none"/>
          <w:lang w:val="en-US" w:eastAsia="zh-CN" w:bidi="ar-SA"/>
        </w:rPr>
        <w:t>十</w:t>
      </w:r>
      <w:r>
        <w:rPr>
          <w:rFonts w:ascii="宋体" w:hAnsi="宋体" w:eastAsia="宋体" w:cs="Times New Roman"/>
          <w:b w:val="0"/>
          <w:bCs/>
          <w:color w:val="auto"/>
          <w:kern w:val="2"/>
          <w:sz w:val="21"/>
          <w:szCs w:val="21"/>
          <w:highlight w:val="none"/>
          <w:lang w:val="en-US" w:eastAsia="zh-CN" w:bidi="ar-SA"/>
        </w:rPr>
        <w:t>、签订时间</w:t>
      </w:r>
      <w:bookmarkEnd w:id="209"/>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本合同于</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年</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月</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日签订。</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10" w:name="_Toc351203490"/>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一</w:t>
      </w:r>
      <w:r>
        <w:rPr>
          <w:rFonts w:ascii="宋体" w:hAnsi="宋体" w:eastAsia="宋体" w:cs="Times New Roman"/>
          <w:b w:val="0"/>
          <w:bCs/>
          <w:color w:val="auto"/>
          <w:kern w:val="2"/>
          <w:sz w:val="21"/>
          <w:szCs w:val="21"/>
          <w:highlight w:val="none"/>
          <w:lang w:val="en-US" w:eastAsia="zh-CN" w:bidi="ar-SA"/>
        </w:rPr>
        <w:t>、签订地点</w:t>
      </w:r>
      <w:bookmarkEnd w:id="210"/>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本合同在</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签订。</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11" w:name="_Toc351203491"/>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二</w:t>
      </w:r>
      <w:r>
        <w:rPr>
          <w:rFonts w:ascii="宋体" w:hAnsi="宋体" w:eastAsia="宋体" w:cs="Times New Roman"/>
          <w:b w:val="0"/>
          <w:bCs/>
          <w:color w:val="auto"/>
          <w:kern w:val="2"/>
          <w:sz w:val="21"/>
          <w:szCs w:val="21"/>
          <w:highlight w:val="none"/>
          <w:lang w:val="en-US" w:eastAsia="zh-CN" w:bidi="ar-SA"/>
        </w:rPr>
        <w:t>、补充协议</w:t>
      </w:r>
      <w:bookmarkEnd w:id="211"/>
    </w:p>
    <w:p>
      <w:pPr>
        <w:spacing w:after="0" w:line="360" w:lineRule="auto"/>
        <w:ind w:firstLine="420" w:firstLineChars="200"/>
        <w:jc w:val="left"/>
        <w:rPr>
          <w:rFonts w:ascii="宋体" w:hAnsi="宋体" w:eastAsia="宋体" w:cs="Times New Roman"/>
          <w:b/>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合同未尽事宜，合同当事人另行签订补充协议</w:t>
      </w:r>
      <w:r>
        <w:rPr>
          <w:rFonts w:hint="eastAsia" w:ascii="宋体" w:hAnsi="宋体" w:eastAsia="宋体" w:cs="Times New Roman"/>
          <w:bCs/>
          <w:color w:val="auto"/>
          <w:kern w:val="2"/>
          <w:sz w:val="21"/>
          <w:szCs w:val="21"/>
          <w:highlight w:val="none"/>
          <w:lang w:eastAsia="zh-CN"/>
        </w:rPr>
        <w:t>，</w:t>
      </w:r>
      <w:r>
        <w:rPr>
          <w:rFonts w:ascii="宋体" w:hAnsi="宋体" w:eastAsia="宋体" w:cs="Times New Roman"/>
          <w:bCs/>
          <w:color w:val="auto"/>
          <w:kern w:val="2"/>
          <w:sz w:val="21"/>
          <w:szCs w:val="21"/>
          <w:highlight w:val="none"/>
          <w:lang w:eastAsia="zh-CN"/>
        </w:rPr>
        <w:t>补充协议是合同的组成部分。</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bookmarkStart w:id="212" w:name="_Toc351203492"/>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三</w:t>
      </w:r>
      <w:r>
        <w:rPr>
          <w:rFonts w:ascii="宋体" w:hAnsi="宋体" w:eastAsia="宋体" w:cs="Times New Roman"/>
          <w:b w:val="0"/>
          <w:bCs/>
          <w:color w:val="auto"/>
          <w:kern w:val="2"/>
          <w:sz w:val="21"/>
          <w:szCs w:val="21"/>
          <w:highlight w:val="none"/>
          <w:lang w:val="en-US" w:eastAsia="zh-CN" w:bidi="ar-SA"/>
        </w:rPr>
        <w:t>、合同生效</w:t>
      </w:r>
      <w:bookmarkEnd w:id="212"/>
    </w:p>
    <w:p>
      <w:pPr>
        <w:spacing w:after="0" w:line="360" w:lineRule="auto"/>
        <w:ind w:firstLine="420" w:firstLineChars="200"/>
        <w:jc w:val="left"/>
        <w:rPr>
          <w:rFonts w:ascii="宋体" w:hAnsi="宋体" w:eastAsia="宋体" w:cs="Times New Roman"/>
          <w:bCs/>
          <w:color w:val="auto"/>
          <w:kern w:val="2"/>
          <w:sz w:val="21"/>
          <w:szCs w:val="21"/>
          <w:highlight w:val="none"/>
          <w:lang w:eastAsia="zh-CN"/>
        </w:rPr>
      </w:pPr>
      <w:bookmarkStart w:id="213" w:name="_Toc351203493"/>
      <w:r>
        <w:rPr>
          <w:rFonts w:ascii="宋体" w:hAnsi="宋体" w:eastAsia="宋体" w:cs="Times New Roman"/>
          <w:bCs/>
          <w:color w:val="auto"/>
          <w:kern w:val="2"/>
          <w:sz w:val="21"/>
          <w:szCs w:val="21"/>
          <w:highlight w:val="none"/>
          <w:lang w:eastAsia="zh-CN"/>
        </w:rPr>
        <w:t>本合同自双方法定代表人或</w:t>
      </w:r>
      <w:r>
        <w:rPr>
          <w:rFonts w:hint="eastAsia" w:ascii="宋体" w:hAnsi="宋体" w:eastAsia="宋体" w:cs="Times New Roman"/>
          <w:bCs/>
          <w:color w:val="auto"/>
          <w:kern w:val="2"/>
          <w:sz w:val="21"/>
          <w:szCs w:val="21"/>
          <w:highlight w:val="none"/>
          <w:lang w:eastAsia="zh-CN"/>
        </w:rPr>
        <w:t>委托代理人</w:t>
      </w:r>
      <w:r>
        <w:rPr>
          <w:rFonts w:ascii="宋体" w:hAnsi="宋体" w:eastAsia="宋体" w:cs="Times New Roman"/>
          <w:bCs/>
          <w:color w:val="auto"/>
          <w:kern w:val="2"/>
          <w:sz w:val="21"/>
          <w:szCs w:val="21"/>
          <w:highlight w:val="none"/>
          <w:lang w:eastAsia="zh-CN"/>
        </w:rPr>
        <w:t>签字</w:t>
      </w:r>
      <w:r>
        <w:rPr>
          <w:rFonts w:hint="eastAsia" w:ascii="宋体" w:hAnsi="宋体" w:eastAsia="宋体" w:cs="Times New Roman"/>
          <w:bCs/>
          <w:color w:val="auto"/>
          <w:kern w:val="2"/>
          <w:sz w:val="21"/>
          <w:szCs w:val="21"/>
          <w:highlight w:val="none"/>
          <w:lang w:eastAsia="zh-CN"/>
        </w:rPr>
        <w:t>并加</w:t>
      </w:r>
      <w:r>
        <w:rPr>
          <w:rFonts w:ascii="宋体" w:hAnsi="宋体" w:eastAsia="宋体" w:cs="Times New Roman"/>
          <w:bCs/>
          <w:color w:val="auto"/>
          <w:kern w:val="2"/>
          <w:sz w:val="21"/>
          <w:szCs w:val="21"/>
          <w:highlight w:val="none"/>
          <w:lang w:eastAsia="zh-CN"/>
        </w:rPr>
        <w:t>盖</w:t>
      </w:r>
      <w:r>
        <w:rPr>
          <w:rFonts w:hint="eastAsia" w:ascii="宋体" w:hAnsi="宋体" w:eastAsia="宋体" w:cs="Times New Roman"/>
          <w:bCs/>
          <w:color w:val="auto"/>
          <w:kern w:val="2"/>
          <w:sz w:val="21"/>
          <w:szCs w:val="21"/>
          <w:highlight w:val="none"/>
          <w:lang w:eastAsia="zh-CN"/>
        </w:rPr>
        <w:t>公</w:t>
      </w:r>
      <w:r>
        <w:rPr>
          <w:rFonts w:ascii="宋体" w:hAnsi="宋体" w:eastAsia="宋体" w:cs="Times New Roman"/>
          <w:bCs/>
          <w:color w:val="auto"/>
          <w:kern w:val="2"/>
          <w:sz w:val="21"/>
          <w:szCs w:val="21"/>
          <w:highlight w:val="none"/>
          <w:lang w:eastAsia="zh-CN"/>
        </w:rPr>
        <w:t>章</w:t>
      </w:r>
      <w:r>
        <w:rPr>
          <w:rFonts w:hint="eastAsia" w:ascii="宋体" w:hAnsi="宋体" w:eastAsia="宋体" w:cs="Times New Roman"/>
          <w:bCs/>
          <w:color w:val="auto"/>
          <w:kern w:val="2"/>
          <w:sz w:val="21"/>
          <w:szCs w:val="21"/>
          <w:highlight w:val="none"/>
          <w:lang w:eastAsia="zh-CN"/>
        </w:rPr>
        <w:t>/合同专用章</w:t>
      </w:r>
      <w:r>
        <w:rPr>
          <w:rFonts w:ascii="宋体" w:hAnsi="宋体" w:eastAsia="宋体" w:cs="Times New Roman"/>
          <w:bCs/>
          <w:color w:val="auto"/>
          <w:kern w:val="2"/>
          <w:sz w:val="21"/>
          <w:szCs w:val="21"/>
          <w:highlight w:val="none"/>
          <w:lang w:eastAsia="zh-CN"/>
        </w:rPr>
        <w:t>后生效。</w:t>
      </w:r>
    </w:p>
    <w:p>
      <w:pPr>
        <w:keepNext/>
        <w:keepLines/>
        <w:widowControl w:val="0"/>
        <w:spacing w:before="280" w:after="290" w:line="360" w:lineRule="auto"/>
        <w:ind w:firstLine="420" w:firstLineChars="200"/>
        <w:jc w:val="left"/>
        <w:outlineLvl w:val="3"/>
        <w:rPr>
          <w:rFonts w:ascii="宋体" w:hAnsi="宋体" w:eastAsia="宋体" w:cs="Times New Roman"/>
          <w:b/>
          <w:bCs w:val="0"/>
          <w:color w:val="auto"/>
          <w:kern w:val="2"/>
          <w:sz w:val="21"/>
          <w:szCs w:val="21"/>
          <w:highlight w:val="none"/>
          <w:lang w:val="en-US" w:eastAsia="zh-CN" w:bidi="ar-SA"/>
        </w:rPr>
      </w:pPr>
      <w:r>
        <w:rPr>
          <w:rFonts w:ascii="宋体" w:hAnsi="宋体" w:eastAsia="宋体" w:cs="Times New Roman"/>
          <w:b w:val="0"/>
          <w:bCs/>
          <w:color w:val="auto"/>
          <w:kern w:val="2"/>
          <w:sz w:val="21"/>
          <w:szCs w:val="21"/>
          <w:highlight w:val="none"/>
          <w:lang w:val="en-US" w:eastAsia="zh-CN" w:bidi="ar-SA"/>
        </w:rPr>
        <w:t>十</w:t>
      </w:r>
      <w:r>
        <w:rPr>
          <w:rFonts w:hint="eastAsia" w:ascii="宋体" w:hAnsi="宋体" w:eastAsia="宋体" w:cs="Times New Roman"/>
          <w:b w:val="0"/>
          <w:bCs/>
          <w:color w:val="auto"/>
          <w:kern w:val="2"/>
          <w:sz w:val="21"/>
          <w:szCs w:val="21"/>
          <w:highlight w:val="none"/>
          <w:lang w:val="en-US" w:eastAsia="zh-CN" w:bidi="ar-SA"/>
        </w:rPr>
        <w:t>四</w:t>
      </w:r>
      <w:r>
        <w:rPr>
          <w:rFonts w:ascii="宋体" w:hAnsi="宋体" w:eastAsia="宋体" w:cs="Times New Roman"/>
          <w:b w:val="0"/>
          <w:bCs/>
          <w:color w:val="auto"/>
          <w:kern w:val="2"/>
          <w:sz w:val="21"/>
          <w:szCs w:val="21"/>
          <w:highlight w:val="none"/>
          <w:lang w:val="en-US" w:eastAsia="zh-CN" w:bidi="ar-SA"/>
        </w:rPr>
        <w:t>、合同份数</w:t>
      </w:r>
      <w:bookmarkEnd w:id="213"/>
    </w:p>
    <w:p>
      <w:pPr>
        <w:snapToGrid w:val="0"/>
        <w:spacing w:after="0" w:line="360" w:lineRule="auto"/>
        <w:ind w:firstLine="420" w:firstLineChars="200"/>
        <w:jc w:val="left"/>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t>本合同一式</w:t>
      </w:r>
      <w:r>
        <w:rPr>
          <w:rFonts w:ascii="宋体" w:hAnsi="宋体" w:eastAsia="宋体" w:cs="Times New Roman"/>
          <w:bCs/>
          <w:color w:val="auto"/>
          <w:kern w:val="2"/>
          <w:sz w:val="21"/>
          <w:szCs w:val="21"/>
          <w:highlight w:val="none"/>
          <w:u w:val="single"/>
          <w:lang w:eastAsia="zh-CN"/>
        </w:rPr>
        <w:t xml:space="preserve">  </w:t>
      </w:r>
      <w:r>
        <w:rPr>
          <w:rFonts w:hint="eastAsia"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份，均具有同等法律效力，发包人执</w:t>
      </w:r>
      <w:r>
        <w:rPr>
          <w:rFonts w:ascii="宋体" w:hAnsi="宋体" w:eastAsia="宋体" w:cs="Times New Roman"/>
          <w:bCs/>
          <w:color w:val="auto"/>
          <w:kern w:val="2"/>
          <w:sz w:val="21"/>
          <w:szCs w:val="21"/>
          <w:highlight w:val="none"/>
          <w:u w:val="single"/>
          <w:lang w:eastAsia="zh-CN"/>
        </w:rPr>
        <w:t xml:space="preserve">  </w:t>
      </w:r>
      <w:r>
        <w:rPr>
          <w:rFonts w:hint="eastAsia"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份，承包人执</w:t>
      </w:r>
      <w:r>
        <w:rPr>
          <w:rFonts w:ascii="宋体" w:hAnsi="宋体" w:eastAsia="宋体" w:cs="Times New Roman"/>
          <w:bCs/>
          <w:color w:val="auto"/>
          <w:kern w:val="2"/>
          <w:sz w:val="21"/>
          <w:szCs w:val="21"/>
          <w:highlight w:val="none"/>
          <w:u w:val="single"/>
          <w:lang w:eastAsia="zh-CN"/>
        </w:rPr>
        <w:t xml:space="preserve">  </w:t>
      </w:r>
      <w:r>
        <w:rPr>
          <w:rFonts w:hint="eastAsia"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u w:val="single"/>
          <w:lang w:eastAsia="zh-CN"/>
        </w:rPr>
        <w:t xml:space="preserve"> </w:t>
      </w:r>
      <w:r>
        <w:rPr>
          <w:rFonts w:ascii="宋体" w:hAnsi="宋体" w:eastAsia="宋体" w:cs="Times New Roman"/>
          <w:bCs/>
          <w:color w:val="auto"/>
          <w:kern w:val="2"/>
          <w:sz w:val="21"/>
          <w:szCs w:val="21"/>
          <w:highlight w:val="none"/>
          <w:lang w:eastAsia="zh-CN"/>
        </w:rPr>
        <w:t>份。</w:t>
      </w:r>
    </w:p>
    <w:p>
      <w:pPr>
        <w:keepNext/>
        <w:keepLines/>
        <w:widowControl w:val="0"/>
        <w:spacing w:before="280" w:after="290" w:line="360" w:lineRule="auto"/>
        <w:ind w:firstLine="420" w:firstLineChars="200"/>
        <w:jc w:val="left"/>
        <w:outlineLvl w:val="3"/>
        <w:rPr>
          <w:rFonts w:hint="eastAsia" w:ascii="宋体" w:hAnsi="宋体" w:eastAsia="宋体" w:cs="Times New Roman"/>
          <w:b w:val="0"/>
          <w:bCs/>
          <w:color w:val="auto"/>
          <w:kern w:val="2"/>
          <w:sz w:val="21"/>
          <w:szCs w:val="21"/>
          <w:highlight w:val="none"/>
          <w:lang w:val="en-US" w:eastAsia="zh-CN" w:bidi="ar-SA"/>
        </w:rPr>
      </w:pPr>
      <w:r>
        <w:rPr>
          <w:rFonts w:hint="eastAsia" w:ascii="宋体" w:hAnsi="宋体" w:eastAsia="宋体" w:cs="Times New Roman"/>
          <w:b w:val="0"/>
          <w:bCs/>
          <w:color w:val="auto"/>
          <w:kern w:val="2"/>
          <w:sz w:val="21"/>
          <w:szCs w:val="21"/>
          <w:highlight w:val="none"/>
          <w:lang w:val="en-US" w:eastAsia="zh-CN" w:bidi="ar-SA"/>
        </w:rPr>
        <w:t>十五、其他</w:t>
      </w:r>
    </w:p>
    <w:p>
      <w:pPr>
        <w:spacing w:after="0" w:line="360" w:lineRule="auto"/>
        <w:ind w:firstLine="480" w:firstLineChars="0"/>
        <w:rPr>
          <w:rFonts w:hint="eastAsia" w:ascii="宋体" w:hAnsi="宋体" w:eastAsia="宋体" w:cs="Times New Roman"/>
          <w:color w:val="auto"/>
          <w:kern w:val="2"/>
          <w:sz w:val="21"/>
          <w:szCs w:val="21"/>
          <w:highlight w:val="none"/>
          <w:lang w:eastAsia="zh-CN"/>
        </w:rPr>
      </w:pPr>
    </w:p>
    <w:p>
      <w:pPr>
        <w:spacing w:after="0" w:line="360" w:lineRule="auto"/>
        <w:ind w:firstLine="480" w:firstLineChars="0"/>
        <w:rPr>
          <w:rFonts w:hint="eastAsia" w:ascii="宋体" w:hAnsi="宋体" w:eastAsia="宋体" w:cs="Times New Roman"/>
          <w:color w:val="auto"/>
          <w:kern w:val="2"/>
          <w:sz w:val="21"/>
          <w:szCs w:val="21"/>
          <w:highlight w:val="none"/>
          <w:lang w:eastAsia="zh-CN"/>
        </w:rPr>
      </w:pP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发  包  人：（公章）</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承  包  人：（公章）</w:t>
      </w: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住</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所：</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住</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所：</w:t>
      </w: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法定代表人或</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法定代表人或</w:t>
      </w: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委托代理人</w:t>
      </w:r>
      <w:r>
        <w:rPr>
          <w:rFonts w:ascii="宋体" w:hAnsi="宋体" w:eastAsia="宋体" w:cs="Times New Roman"/>
          <w:color w:val="auto"/>
          <w:kern w:val="2"/>
          <w:sz w:val="21"/>
          <w:szCs w:val="21"/>
          <w:highlight w:val="none"/>
          <w:lang w:eastAsia="zh-CN"/>
        </w:rPr>
        <w:t>（签字）</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委托代理人</w:t>
      </w:r>
      <w:r>
        <w:rPr>
          <w:rFonts w:ascii="宋体" w:hAnsi="宋体" w:eastAsia="宋体" w:cs="Times New Roman"/>
          <w:color w:val="auto"/>
          <w:kern w:val="2"/>
          <w:sz w:val="21"/>
          <w:szCs w:val="21"/>
          <w:highlight w:val="none"/>
          <w:lang w:eastAsia="zh-CN"/>
        </w:rPr>
        <w:t>（签字）</w:t>
      </w:r>
      <w:r>
        <w:rPr>
          <w:rFonts w:hint="eastAsia" w:ascii="宋体" w:hAnsi="宋体" w:eastAsia="宋体" w:cs="Times New Roman"/>
          <w:color w:val="auto"/>
          <w:kern w:val="2"/>
          <w:sz w:val="21"/>
          <w:szCs w:val="21"/>
          <w:highlight w:val="none"/>
          <w:lang w:eastAsia="zh-CN"/>
        </w:rPr>
        <w:t>：</w:t>
      </w: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电</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话：</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电</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话：</w:t>
      </w: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传</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真：</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传</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真：</w:t>
      </w: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开户  银行：</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开户  银行：</w:t>
      </w:r>
    </w:p>
    <w:p>
      <w:pPr>
        <w:spacing w:after="0" w:line="360" w:lineRule="auto"/>
        <w:ind w:firstLine="480" w:firstLineChars="0"/>
        <w:jc w:val="left"/>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账</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号：</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账</w:t>
      </w:r>
      <w:r>
        <w:rPr>
          <w:rFonts w:ascii="宋体" w:hAnsi="宋体" w:eastAsia="宋体" w:cs="Times New Roman"/>
          <w:color w:val="auto"/>
          <w:kern w:val="2"/>
          <w:sz w:val="21"/>
          <w:szCs w:val="21"/>
          <w:highlight w:val="none"/>
          <w:lang w:eastAsia="zh-CN"/>
        </w:rPr>
        <w:t xml:space="preserve">    </w:t>
      </w:r>
      <w:r>
        <w:rPr>
          <w:rFonts w:hint="eastAsia" w:ascii="宋体" w:hAnsi="宋体" w:eastAsia="宋体" w:cs="Times New Roman"/>
          <w:color w:val="auto"/>
          <w:kern w:val="2"/>
          <w:sz w:val="21"/>
          <w:szCs w:val="21"/>
          <w:highlight w:val="none"/>
          <w:lang w:eastAsia="zh-CN"/>
        </w:rPr>
        <w:t xml:space="preserve">  号：</w:t>
      </w:r>
    </w:p>
    <w:p>
      <w:pPr>
        <w:snapToGrid w:val="0"/>
        <w:spacing w:after="0" w:line="360" w:lineRule="auto"/>
        <w:ind w:firstLine="0" w:firstLineChars="0"/>
        <w:rPr>
          <w:rFonts w:hint="eastAsia" w:ascii="宋体" w:hAnsi="宋体" w:eastAsia="宋体" w:cs="Times New Roman"/>
          <w:color w:val="auto"/>
          <w:kern w:val="0"/>
          <w:sz w:val="21"/>
          <w:szCs w:val="20"/>
          <w:highlight w:val="none"/>
          <w:lang w:eastAsia="zh-CN"/>
        </w:rPr>
      </w:pPr>
      <w:r>
        <w:rPr>
          <w:rFonts w:ascii="宋体" w:hAnsi="宋体" w:eastAsia="宋体" w:cs="Times New Roman"/>
          <w:color w:val="auto"/>
          <w:kern w:val="2"/>
          <w:sz w:val="44"/>
          <w:szCs w:val="44"/>
          <w:highlight w:val="none"/>
          <w:lang w:eastAsia="zh-CN"/>
        </w:rPr>
        <w:br w:type="page"/>
      </w:r>
    </w:p>
    <w:p>
      <w:pPr>
        <w:keepNext/>
        <w:keepLines/>
        <w:widowControl w:val="0"/>
        <w:spacing w:line="360" w:lineRule="auto"/>
        <w:jc w:val="center"/>
        <w:outlineLvl w:val="2"/>
        <w:rPr>
          <w:rFonts w:ascii="宋体" w:hAnsi="宋体" w:eastAsia="宋体" w:cs="Times New Roman"/>
          <w:b/>
          <w:color w:val="auto"/>
          <w:kern w:val="2"/>
          <w:sz w:val="28"/>
          <w:highlight w:val="none"/>
          <w:lang w:val="en-US" w:eastAsia="zh-CN" w:bidi="ar-SA"/>
        </w:rPr>
      </w:pPr>
      <w:bookmarkStart w:id="214" w:name="_Toc401749504"/>
      <w:r>
        <w:rPr>
          <w:rFonts w:hint="eastAsia" w:ascii="宋体" w:hAnsi="宋体" w:eastAsia="宋体" w:cs="Times New Roman"/>
          <w:b/>
          <w:color w:val="auto"/>
          <w:kern w:val="2"/>
          <w:sz w:val="24"/>
          <w:highlight w:val="none"/>
          <w:lang w:val="en-US" w:eastAsia="zh-CN" w:bidi="ar-SA"/>
        </w:rPr>
        <w:t>第二节  通用合同条款</w:t>
      </w:r>
      <w:bookmarkEnd w:id="214"/>
      <w:r>
        <w:rPr>
          <w:rFonts w:ascii="宋体" w:hAnsi="宋体" w:eastAsia="宋体" w:cs="Times New Roman"/>
          <w:b/>
          <w:color w:val="auto"/>
          <w:kern w:val="2"/>
          <w:sz w:val="24"/>
          <w:highlight w:val="none"/>
          <w:lang w:val="en-US" w:eastAsia="zh-CN" w:bidi="ar-SA"/>
        </w:rPr>
        <w:t xml:space="preserve">  </w:t>
      </w:r>
      <w:bookmarkStart w:id="215" w:name="_Toc337558727"/>
    </w:p>
    <w:bookmarkEnd w:id="215"/>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outlineLvl w:val="9"/>
        <w:rPr>
          <w:rFonts w:hint="eastAsia" w:asciiTheme="minorEastAsia" w:hAnsiTheme="minorEastAsia" w:eastAsiaTheme="minorEastAsia" w:cstheme="minorEastAsia"/>
          <w:b/>
          <w:bCs/>
          <w:color w:val="auto"/>
          <w:spacing w:val="0"/>
          <w:w w:val="100"/>
          <w:sz w:val="21"/>
          <w:szCs w:val="21"/>
          <w:highlight w:val="none"/>
        </w:rPr>
      </w:pPr>
      <w:bookmarkStart w:id="216" w:name="_Toc346527141"/>
      <w:bookmarkStart w:id="217" w:name="_Toc14533"/>
      <w:bookmarkStart w:id="218" w:name="_Toc401749505"/>
      <w:r>
        <w:rPr>
          <w:rFonts w:hint="eastAsia" w:asciiTheme="minorEastAsia" w:hAnsiTheme="minorEastAsia" w:eastAsiaTheme="minorEastAsia" w:cstheme="minorEastAsia"/>
          <w:color w:val="auto"/>
          <w:spacing w:val="0"/>
          <w:w w:val="100"/>
          <w:sz w:val="21"/>
          <w:szCs w:val="21"/>
          <w:highlight w:val="none"/>
        </w:rPr>
        <w:t>1.一般约定</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19" w:name="_bookmark105"/>
      <w:bookmarkEnd w:id="219"/>
      <w:r>
        <w:rPr>
          <w:rFonts w:hint="eastAsia" w:asciiTheme="minorEastAsia" w:hAnsiTheme="minorEastAsia" w:eastAsiaTheme="minorEastAsia" w:cstheme="minorEastAsia"/>
          <w:color w:val="auto"/>
          <w:spacing w:val="0"/>
          <w:w w:val="100"/>
          <w:sz w:val="21"/>
          <w:szCs w:val="21"/>
          <w:highlight w:val="none"/>
        </w:rPr>
        <w:t>1.1 词语定义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通用合同条款、专用合同条款中的下列词语应具有本款所赋予的含义。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 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1.1.1.1 合同文件（或称合同）：指合同协议书、中标通知书、投标函及投标函附录、专用合同条款、通用合同条款、技术标准和要求、图纸、已标价工程量清单，以及其他合同文件。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1.1.1.2 合同协议书：指第1.5款所指的合同协议书。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1.1.1.3 中标通知书：指发包人通知承包人中标的函件。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1.1.1.4 投标函：指构成合同文件组成部分的由承包人填写并签署的投标函。</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1.1.1.5 投标函附录：指附在投标函后构成合同文件的投标函附录。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1.1.1.6 技术标准和要求：指构成合同文件组成部分的名为技术标准和要求的文件，包括合同双方当事人约定对其所作的修改或补充。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1.1.1.7 图纸：指包含在合同中的工程图纸，以及由发包人按合同约定提供的任何补充和修改的图纸，包括配套的说明。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1.1.1.8 已标价工程量清单：指构成合同文件组成部分的由承包人按照规定的格式和要求填写并标明价格的工程量清单。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1.1.1.9 其他合同文件：指经合同双方当事人确认构成合同文件的其他文件。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 合同当事人和人员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1.1.2.1 合同当事人:指发包人和（或）承包人。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1.1.2.2 发包人：指专用合同条款中指明并与承包人在合同协议书中签字的当事人。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1.1.2.3 承包人：指与发包人签订合同协议书的当事人。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1.1.2.4 承包人项目经理：指承包人派驻施工场地的全权负责人。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1.1.2.5 分包人：指从承包人处分包合同中某一部分工程，并与其签订分包合同的分包人。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1.1.2.6 监理人：指在专用合同条款中指明的，受发包人委托对合同履行实施管理的法人或其他组织。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1.1.2.7 总监理工程师（总监）：指由监理人委派常驻施工场地对合同履行实施管理的全权负责人。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 工程和设备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1.1.3.1 工程：指永久工程和（或）临时工程。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1.1.3.2 永久工程：指按合同约定建造并移交给发包人的工程，包括工程设备。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1.1.3.3 临时工程：指为完成合同约定的永久工程所修建的各类临时性工程，不包括施工设备。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1.1.3.4 单位工程：指专用合同条款中指明特定范围的永久工程。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1.1.3.5 工程设备：指构成或计划构成永久工程一部分的机电设备、金属结构设备、仪器装置及其他类似的设备和装置。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1.1.3.6 施工设备：指为完成合同约定的各项工作所需的设备、器具和其他物品，不包括临时工程和材料。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1.1.3.7 临时设施：指为完成合同约定的各项工作所服务的临时性生产和生活设施。</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1.1.3.8 承包人设备：指承包人自带的施工设备。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1.1.3.9 施工场地（或称工地、现场）：指用于合同工程施工的场所，以及在合同中指定作为施工场地组成部分的其他场所，包括永久占地和临时占地。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1.1.3.10 永久占地：指专用合同条款中指明为实施合同工程需永久占用的土地。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1.1.3.11 临时占地：指专用合同条款中指明为实施合同工程需临时占用的土地。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 日期</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1.1.4.1 开工通知：指监理人按第11.1款通知承包人开工的函件。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1.1.4.2 开工日期：指监理人按第11.1款发出的开工通知中写明的开工日期。</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1.1.4.3 工期：指承包人在投标函中承诺的完成合同工程所需的期限，包括按第11.3款、第11.4款和第11.6款约定所作的变更。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1.1.4.4 竣工日期：指第1.1.4.3目约定工期届满时的日期。实际竣工日期以工程接收证书中写明的日期为准。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1.1.4.5 缺陷责任期：指履行第19.2款约定的缺陷责任的期限，具体期限由专用合同条款约定，包括根据第19.3款约定所作的延长。</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1.1.4.6 基准日期：指投标截止时间前28天的日期。</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1.1.4.7 天：除特别指明外，指日历天。合同中按天计算时间的，开始当天不计入，从次日开始计算。期限最后一天的截止时间为当天24:00。</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 合同价格和费用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1.1.5.1 签约合同价：指签定合同时合同协议书中写明的，包括了暂列金额、暂估价的合同总金额。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1.1.5.2 合同价格：指承包人按合同约定完成了包括缺陷责任期内的全部承包工作后，发包人应付给承包人的金额，包括在履行合同过程中按合同约定进行的变更和调整。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1.1.5.3 费用：指为履行合同所发生的或将要发生的所有合理开支，包括管理费和应分摊的其他费用，但不包括利润。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1.1.5.4 暂列金额：指已标价工程量清单中所列的暂列金额，用于在签订协议书时尚未确定或不可预见变更的施工及其所需材料、工程设备、服务等的金额，包括以计日工方式支付的金额。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1.1.5.5 暂估价：指发包人在工程量清单中给定的用于支付必然发生但暂时不能确定价格的材料、设备以及专业工程的金额。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1.1.5.6 计日工：指对零星工作采取的一种计价方式，按合同中的计日工子目及其单价计价付款。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1.1.5.7 质量保证金（或称保留金）：指按第17.4.1项约定用于保证在缺陷责任期内履行缺陷修复义务的金额。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1.1.6 其他</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1.1.6.1 书面形式：指合同文件、信函、电报、传真等可以有形地表现所载内容的形式。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0" w:name="_bookmark106"/>
      <w:bookmarkEnd w:id="220"/>
      <w:r>
        <w:rPr>
          <w:rFonts w:hint="eastAsia" w:asciiTheme="minorEastAsia" w:hAnsiTheme="minorEastAsia" w:eastAsiaTheme="minorEastAsia" w:cstheme="minorEastAsia"/>
          <w:color w:val="auto"/>
          <w:spacing w:val="0"/>
          <w:w w:val="100"/>
          <w:sz w:val="21"/>
          <w:szCs w:val="21"/>
          <w:highlight w:val="none"/>
        </w:rPr>
        <w:t>1.2 语言文字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除专用术语外，合同使用的语言文字为中文。必要时专用术语应附有中文注释。</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1" w:name="_bookmark107"/>
      <w:bookmarkEnd w:id="221"/>
      <w:r>
        <w:rPr>
          <w:rFonts w:hint="eastAsia" w:asciiTheme="minorEastAsia" w:hAnsiTheme="minorEastAsia" w:eastAsiaTheme="minorEastAsia" w:cstheme="minorEastAsia"/>
          <w:color w:val="auto"/>
          <w:spacing w:val="0"/>
          <w:w w:val="100"/>
          <w:sz w:val="21"/>
          <w:szCs w:val="21"/>
          <w:highlight w:val="none"/>
        </w:rPr>
        <w:t>1.3 法律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适用于合同的法律包括中华人民共和国法律、行政法规、部门规章，以及工程所在地的地方法规、自治条例、单行条例和地方政府规章。</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2" w:name="_bookmark108"/>
      <w:bookmarkEnd w:id="222"/>
      <w:r>
        <w:rPr>
          <w:rFonts w:hint="eastAsia" w:asciiTheme="minorEastAsia" w:hAnsiTheme="minorEastAsia" w:eastAsiaTheme="minorEastAsia" w:cstheme="minorEastAsia"/>
          <w:color w:val="auto"/>
          <w:spacing w:val="0"/>
          <w:w w:val="100"/>
          <w:sz w:val="21"/>
          <w:szCs w:val="21"/>
          <w:highlight w:val="none"/>
        </w:rPr>
        <w:t>1.4 合同文件的优先顺序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组成合同的各项文件应互相解释，互为说明。除专用合同条款另有约定外，解释合同文件的优先顺序如下：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（1）合同协议书；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（2）中标通知书；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（3）投标函及投标函附录；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（4）专用合同条款；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（5）通用合同条款；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（6）技术标准和要求；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（7）图纸；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（8）已标价工程量清单；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（9）其他合同文件。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3" w:name="_bookmark109"/>
      <w:bookmarkEnd w:id="223"/>
      <w:r>
        <w:rPr>
          <w:rFonts w:hint="eastAsia" w:asciiTheme="minorEastAsia" w:hAnsiTheme="minorEastAsia" w:eastAsiaTheme="minorEastAsia" w:cstheme="minorEastAsia"/>
          <w:color w:val="auto"/>
          <w:spacing w:val="0"/>
          <w:w w:val="100"/>
          <w:sz w:val="21"/>
          <w:szCs w:val="21"/>
          <w:highlight w:val="none"/>
        </w:rPr>
        <w:t>1.5 合同协议书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承包人按中标通知书规定的时间与发包人签订合同协议书。除法律另有规定或合同另有约定外，发包人和承包人的法定代表人或其委托代理人在合同协议书上签字并盖单位章后，合同生效。</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4" w:name="_bookmark110"/>
      <w:bookmarkEnd w:id="224"/>
      <w:r>
        <w:rPr>
          <w:rFonts w:hint="eastAsia" w:asciiTheme="minorEastAsia" w:hAnsiTheme="minorEastAsia" w:eastAsiaTheme="minorEastAsia" w:cstheme="minorEastAsia"/>
          <w:color w:val="auto"/>
          <w:spacing w:val="0"/>
          <w:w w:val="100"/>
          <w:sz w:val="21"/>
          <w:szCs w:val="21"/>
          <w:highlight w:val="none"/>
        </w:rPr>
        <w:t>1.6 图纸和承包人文件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1.6.1 图纸的提供</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除专用合同条款另有约定外，图纸应在合理的期限内按照合同约定的数量提供给承包人。由于发包人未按时提供图纸造成工期延误的，按第11.3款的约定办理。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1.6.2 承包人提供的文件</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按专用合同条款约定由承包人提供的文件，包括部分工程的大样图、加工图等，承包人应按约定的数量和期限报送监理人。监理人应在专用合同条款约定的期限内批复。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1.6.3 图纸的修改</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图纸需要修改和补充的，应由监理人取得发包人同意后，在该工程或工程相应部位施工前的合理期限内签发图纸修改图给承包人，具体签发期限在专用合同条款中约定。承包人应按修改后的图纸施工。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1.6.4 图纸的错误</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承包人发现发包人提供的图纸存在明显错误或疏忽，应及时通知监理人。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1.6.5 图纸和承包人文件的保管</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监理人和承包人均应在施工场地各保存一套完整的包含第1.6.1 项、第1.6.2项、第1.6.3项约定内容的图纸和承包人文件。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5" w:name="_bookmark111"/>
      <w:bookmarkEnd w:id="225"/>
      <w:r>
        <w:rPr>
          <w:rFonts w:hint="eastAsia" w:asciiTheme="minorEastAsia" w:hAnsiTheme="minorEastAsia" w:eastAsiaTheme="minorEastAsia" w:cstheme="minorEastAsia"/>
          <w:color w:val="auto"/>
          <w:spacing w:val="0"/>
          <w:w w:val="100"/>
          <w:sz w:val="21"/>
          <w:szCs w:val="21"/>
          <w:highlight w:val="none"/>
        </w:rPr>
        <w:t>1.7 联络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1.7.1 与合同有关的通知、批准、证明、证书、指示、要求、请求、同意、意见、确定和决定等，均应采用书面形式。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1.7.2 第 1.7.1 项中的通知、批准、证明、证书、指示、要求、请求、同意、意见、确定和决定等来往函件，均应在合同约定的期限内送达指定地点和接收人，并办理签收手续。</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6" w:name="_bookmark112"/>
      <w:bookmarkEnd w:id="226"/>
      <w:r>
        <w:rPr>
          <w:rFonts w:hint="eastAsia" w:asciiTheme="minorEastAsia" w:hAnsiTheme="minorEastAsia" w:eastAsiaTheme="minorEastAsia" w:cstheme="minorEastAsia"/>
          <w:color w:val="auto"/>
          <w:spacing w:val="0"/>
          <w:w w:val="100"/>
          <w:sz w:val="21"/>
          <w:szCs w:val="21"/>
          <w:highlight w:val="none"/>
        </w:rPr>
        <w:t>1.8 转让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除合同另有约定外，未经对方当事人同意，一方当事人不得将合同权利全部或部分转让给第三人，也不得全部或部分转移合同义务。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7" w:name="_bookmark113"/>
      <w:bookmarkEnd w:id="227"/>
      <w:r>
        <w:rPr>
          <w:rFonts w:hint="eastAsia" w:asciiTheme="minorEastAsia" w:hAnsiTheme="minorEastAsia" w:eastAsiaTheme="minorEastAsia" w:cstheme="minorEastAsia"/>
          <w:color w:val="auto"/>
          <w:spacing w:val="0"/>
          <w:w w:val="100"/>
          <w:sz w:val="21"/>
          <w:szCs w:val="21"/>
          <w:highlight w:val="none"/>
        </w:rPr>
        <w:t>1.9 严禁贿赂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合同双方当事人不得以贿赂或变相贿赂的方式，谋取不当利益或损害对方权益。因贿赂造成对方损失的，行为人应赔偿损失，并承担相应的法律责任。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8" w:name="_bookmark114"/>
      <w:bookmarkEnd w:id="228"/>
      <w:r>
        <w:rPr>
          <w:rFonts w:hint="eastAsia" w:asciiTheme="minorEastAsia" w:hAnsiTheme="minorEastAsia" w:eastAsiaTheme="minorEastAsia" w:cstheme="minorEastAsia"/>
          <w:color w:val="auto"/>
          <w:spacing w:val="0"/>
          <w:w w:val="100"/>
          <w:sz w:val="21"/>
          <w:szCs w:val="21"/>
          <w:highlight w:val="none"/>
        </w:rPr>
        <w:t>1.10 化石、文物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1.10.2 承包人发现文物后不及时报告或隐瞒不报，致使文物丢失或损坏的，应赔偿损失，并承担相应的法律责任。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29" w:name="_bookmark115"/>
      <w:bookmarkEnd w:id="229"/>
      <w:r>
        <w:rPr>
          <w:rFonts w:hint="eastAsia" w:asciiTheme="minorEastAsia" w:hAnsiTheme="minorEastAsia" w:eastAsiaTheme="minorEastAsia" w:cstheme="minorEastAsia"/>
          <w:color w:val="auto"/>
          <w:spacing w:val="0"/>
          <w:w w:val="100"/>
          <w:sz w:val="21"/>
          <w:szCs w:val="21"/>
          <w:highlight w:val="none"/>
        </w:rPr>
        <w:t>1.11 专利技术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1.11.2 承包人在投标文件中采用专利技术的，专利技术的使用费包含在投标报价内。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1.11.3 承包人的技术秘密和声明需要保密的资料和信息，发包人和监理人不得为合同以外的目的泄露给他人。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30" w:name="_bookmark116"/>
      <w:bookmarkEnd w:id="230"/>
      <w:r>
        <w:rPr>
          <w:rFonts w:hint="eastAsia" w:asciiTheme="minorEastAsia" w:hAnsiTheme="minorEastAsia" w:eastAsiaTheme="minorEastAsia" w:cstheme="minorEastAsia"/>
          <w:color w:val="auto"/>
          <w:spacing w:val="0"/>
          <w:w w:val="100"/>
          <w:sz w:val="21"/>
          <w:szCs w:val="21"/>
          <w:highlight w:val="none"/>
        </w:rPr>
        <w:t>1.12 图纸和文件的保密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1.12.1 发包人提供的图纸和文件，未经发包人同意，承包人不得为合同以外的目的泄露给他人或公开发表与引用。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1.12.2 承包人提供的文件，未经承包人同意，发包人和监理人不得为合同以外的目的泄露给他人或公开发表与引用。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231" w:name="_bookmark117"/>
      <w:bookmarkEnd w:id="231"/>
      <w:r>
        <w:rPr>
          <w:rFonts w:hint="eastAsia" w:asciiTheme="minorEastAsia" w:hAnsiTheme="minorEastAsia" w:eastAsiaTheme="minorEastAsia" w:cstheme="minorEastAsia"/>
          <w:b/>
          <w:bCs/>
          <w:color w:val="auto"/>
          <w:spacing w:val="0"/>
          <w:w w:val="100"/>
          <w:sz w:val="21"/>
          <w:szCs w:val="21"/>
          <w:highlight w:val="none"/>
        </w:rPr>
        <w:t>2.发包人义务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32" w:name="_bookmark118"/>
      <w:bookmarkEnd w:id="232"/>
      <w:r>
        <w:rPr>
          <w:rFonts w:hint="eastAsia" w:asciiTheme="minorEastAsia" w:hAnsiTheme="minorEastAsia" w:eastAsiaTheme="minorEastAsia" w:cstheme="minorEastAsia"/>
          <w:color w:val="auto"/>
          <w:spacing w:val="0"/>
          <w:w w:val="100"/>
          <w:sz w:val="21"/>
          <w:szCs w:val="21"/>
          <w:highlight w:val="none"/>
        </w:rPr>
        <w:t>2.1 遵守法律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发包人在履行合同过程中应遵守法律，并保证承包人免于承担因发包人违反法律而引起的任何责任。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33" w:name="_bookmark119"/>
      <w:bookmarkEnd w:id="233"/>
      <w:r>
        <w:rPr>
          <w:rFonts w:hint="eastAsia" w:asciiTheme="minorEastAsia" w:hAnsiTheme="minorEastAsia" w:eastAsiaTheme="minorEastAsia" w:cstheme="minorEastAsia"/>
          <w:color w:val="auto"/>
          <w:spacing w:val="0"/>
          <w:w w:val="100"/>
          <w:sz w:val="21"/>
          <w:szCs w:val="21"/>
          <w:highlight w:val="none"/>
        </w:rPr>
        <w:t>2.2 发出开工通知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发包人应委托监理人按第11.1款的约定向承包人发出开工通知。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34" w:name="_bookmark120"/>
      <w:bookmarkEnd w:id="234"/>
      <w:r>
        <w:rPr>
          <w:rFonts w:hint="eastAsia" w:asciiTheme="minorEastAsia" w:hAnsiTheme="minorEastAsia" w:eastAsiaTheme="minorEastAsia" w:cstheme="minorEastAsia"/>
          <w:color w:val="auto"/>
          <w:spacing w:val="0"/>
          <w:w w:val="100"/>
          <w:sz w:val="21"/>
          <w:szCs w:val="21"/>
          <w:highlight w:val="none"/>
        </w:rPr>
        <w:t>2.3 提供施工场地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发包人应按专用合同条款约定向承包人提供施工场地，以及施工场地内地下管线和地下设施等有关资料，并保证资料的真实、准确、完整。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35" w:name="2.4 协助承包人办理证件和批件"/>
      <w:bookmarkEnd w:id="235"/>
      <w:bookmarkStart w:id="236" w:name="_bookmark121"/>
      <w:bookmarkEnd w:id="236"/>
      <w:r>
        <w:rPr>
          <w:rFonts w:hint="eastAsia" w:asciiTheme="minorEastAsia" w:hAnsiTheme="minorEastAsia" w:eastAsiaTheme="minorEastAsia" w:cstheme="minorEastAsia"/>
          <w:color w:val="auto"/>
          <w:spacing w:val="0"/>
          <w:w w:val="100"/>
          <w:sz w:val="21"/>
          <w:szCs w:val="21"/>
          <w:highlight w:val="none"/>
        </w:rPr>
        <w:t>2.4 协助承包人办理证件和批件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发包人应协助承包人办理法律规定的有关施工证件和批件。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37" w:name="2.5 组织设计交底"/>
      <w:bookmarkEnd w:id="237"/>
      <w:bookmarkStart w:id="238" w:name="_bookmark122"/>
      <w:bookmarkEnd w:id="238"/>
      <w:r>
        <w:rPr>
          <w:rFonts w:hint="eastAsia" w:asciiTheme="minorEastAsia" w:hAnsiTheme="minorEastAsia" w:eastAsiaTheme="minorEastAsia" w:cstheme="minorEastAsia"/>
          <w:color w:val="auto"/>
          <w:spacing w:val="0"/>
          <w:w w:val="100"/>
          <w:sz w:val="21"/>
          <w:szCs w:val="21"/>
          <w:highlight w:val="none"/>
        </w:rPr>
        <w:t>2.5 组织设计交底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发包人应根据合同进度计划，组织设计单位向承包人进行设计交底。</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39" w:name="_bookmark123"/>
      <w:bookmarkEnd w:id="239"/>
      <w:bookmarkStart w:id="240" w:name="2.6 支付合同价款"/>
      <w:bookmarkEnd w:id="240"/>
      <w:r>
        <w:rPr>
          <w:rFonts w:hint="eastAsia" w:asciiTheme="minorEastAsia" w:hAnsiTheme="minorEastAsia" w:eastAsiaTheme="minorEastAsia" w:cstheme="minorEastAsia"/>
          <w:color w:val="auto"/>
          <w:spacing w:val="0"/>
          <w:w w:val="100"/>
          <w:sz w:val="21"/>
          <w:szCs w:val="21"/>
          <w:highlight w:val="none"/>
        </w:rPr>
        <w:t>2.6 支付合同价款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发包人应按合同约定向承包人及时支付合同价款。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41" w:name="_bookmark124"/>
      <w:bookmarkEnd w:id="241"/>
      <w:bookmarkStart w:id="242" w:name="2.7 组织竣工验收"/>
      <w:bookmarkEnd w:id="242"/>
      <w:r>
        <w:rPr>
          <w:rFonts w:hint="eastAsia" w:asciiTheme="minorEastAsia" w:hAnsiTheme="minorEastAsia" w:eastAsiaTheme="minorEastAsia" w:cstheme="minorEastAsia"/>
          <w:color w:val="auto"/>
          <w:spacing w:val="0"/>
          <w:w w:val="100"/>
          <w:sz w:val="21"/>
          <w:szCs w:val="21"/>
          <w:highlight w:val="none"/>
        </w:rPr>
        <w:t>2.7 组织竣工验收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发包人应按合同约定及时组织竣工验收。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43" w:name="_bookmark125"/>
      <w:bookmarkEnd w:id="243"/>
      <w:bookmarkStart w:id="244" w:name="2.8 其他义务"/>
      <w:bookmarkEnd w:id="244"/>
      <w:r>
        <w:rPr>
          <w:rFonts w:hint="eastAsia" w:asciiTheme="minorEastAsia" w:hAnsiTheme="minorEastAsia" w:eastAsiaTheme="minorEastAsia" w:cstheme="minorEastAsia"/>
          <w:color w:val="auto"/>
          <w:spacing w:val="0"/>
          <w:w w:val="100"/>
          <w:sz w:val="21"/>
          <w:szCs w:val="21"/>
          <w:highlight w:val="none"/>
        </w:rPr>
        <w:t>2.8 其他义务</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发包人应履行合同约定的其他义务。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245" w:name="_bookmark126"/>
      <w:bookmarkEnd w:id="245"/>
      <w:r>
        <w:rPr>
          <w:rFonts w:hint="eastAsia" w:asciiTheme="minorEastAsia" w:hAnsiTheme="minorEastAsia" w:eastAsiaTheme="minorEastAsia" w:cstheme="minorEastAsia"/>
          <w:b/>
          <w:bCs/>
          <w:color w:val="auto"/>
          <w:spacing w:val="0"/>
          <w:w w:val="100"/>
          <w:sz w:val="21"/>
          <w:szCs w:val="21"/>
          <w:highlight w:val="none"/>
        </w:rPr>
        <w:t>3.监理人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46" w:name="_bookmark127"/>
      <w:bookmarkEnd w:id="246"/>
      <w:r>
        <w:rPr>
          <w:rFonts w:hint="eastAsia" w:asciiTheme="minorEastAsia" w:hAnsiTheme="minorEastAsia" w:eastAsiaTheme="minorEastAsia" w:cstheme="minorEastAsia"/>
          <w:color w:val="auto"/>
          <w:spacing w:val="0"/>
          <w:w w:val="100"/>
          <w:sz w:val="21"/>
          <w:szCs w:val="21"/>
          <w:highlight w:val="none"/>
        </w:rPr>
        <w:t>3.1 监理人的职责和权力</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3.1.1 监理人受发包人委托，享有合同约定的权力。监理人在行使某项权力前需要经发包人事先批准而通用合同条款没有指明的，应在专用合同条款中指明。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3.1.2 监理人发出的任何指示应视为已得到发包人的批准，但监理人无权免除或变更合同约定的发包人和承包人的权利、义务和责任。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3.1.3 合同约定应由承包人承担的义务和责任，不因监理人对承包人提交文件的审查或批准，对工程、材料和设备的检查和检验，以及为实施监理作出的指示等职务行为而减轻或解除。</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47" w:name="_bookmark128"/>
      <w:bookmarkEnd w:id="247"/>
      <w:r>
        <w:rPr>
          <w:rFonts w:hint="eastAsia" w:asciiTheme="minorEastAsia" w:hAnsiTheme="minorEastAsia" w:eastAsiaTheme="minorEastAsia" w:cstheme="minorEastAsia"/>
          <w:color w:val="auto"/>
          <w:spacing w:val="0"/>
          <w:w w:val="100"/>
          <w:sz w:val="21"/>
          <w:szCs w:val="21"/>
          <w:highlight w:val="none"/>
        </w:rPr>
        <w:t>3.2 总监理工程师</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发包人应在发出开工通知前将总监理工程师的任命通知承包人。总监理工程师更换时，应在调离 14 天前通知承包人。总监理工程师短期离开施工场地的，应委派代表代行其职责，并通知承包人。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48" w:name="_bookmark129"/>
      <w:bookmarkEnd w:id="248"/>
      <w:r>
        <w:rPr>
          <w:rFonts w:hint="eastAsia" w:asciiTheme="minorEastAsia" w:hAnsiTheme="minorEastAsia" w:eastAsiaTheme="minorEastAsia" w:cstheme="minorEastAsia"/>
          <w:color w:val="auto"/>
          <w:spacing w:val="0"/>
          <w:w w:val="100"/>
          <w:sz w:val="21"/>
          <w:szCs w:val="21"/>
          <w:highlight w:val="none"/>
        </w:rPr>
        <w:t>3.3 监理人员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3.3.3 承包人对总监理工程师授权的监理人员发出的指示有疑问的，可向总监理工程师提出书面异议，总监理工程师应在48小时内对该指示予以确认、更改或撤销。</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3.3.4 除专用合同条款另有约定外，总监理工程师不应将第3.5款约定应由总监理工程师作出确定的权力授权或委托给其他监理人员。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49" w:name="_bookmark130"/>
      <w:bookmarkEnd w:id="249"/>
      <w:r>
        <w:rPr>
          <w:rFonts w:hint="eastAsia" w:asciiTheme="minorEastAsia" w:hAnsiTheme="minorEastAsia" w:eastAsiaTheme="minorEastAsia" w:cstheme="minorEastAsia"/>
          <w:color w:val="auto"/>
          <w:spacing w:val="0"/>
          <w:w w:val="100"/>
          <w:sz w:val="21"/>
          <w:szCs w:val="21"/>
          <w:highlight w:val="none"/>
        </w:rPr>
        <w:t>3.4 监理人的指示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3.4.1 监理人应按第3.1款的约定向承包人发出指示，监理人的指示应盖有监理人授权的施工场地机构章，并由总监理工程师或总监理工程师按第3.3.1项约定授权的监理人员签字。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3.4.2 承包人收到监理人按第3.4.1项作出的指示后应遵照执行。指示构成变更的，应按第15 条处理。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3.4.4 除合同另有约定外，承包人只从总监理工程师或按第3.3.1项被授权的监理人员处取得指示。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3.4.5 由于监理人未能按合同约定发出指示、指示延误或指示错误而导致承包人费用增加和（或）工期延误的，由发包人承担赔偿责任。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50" w:name="_bookmark131"/>
      <w:bookmarkEnd w:id="250"/>
      <w:r>
        <w:rPr>
          <w:rFonts w:hint="eastAsia" w:asciiTheme="minorEastAsia" w:hAnsiTheme="minorEastAsia" w:eastAsiaTheme="minorEastAsia" w:cstheme="minorEastAsia"/>
          <w:color w:val="auto"/>
          <w:spacing w:val="0"/>
          <w:w w:val="100"/>
          <w:sz w:val="21"/>
          <w:szCs w:val="21"/>
          <w:highlight w:val="none"/>
        </w:rPr>
        <w:t>3.5 商定或确定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3.5.1 合同约定总监理工程师应按照本款对任何事项进行商定或确定时，总监理工程师应与合同当事人协商，尽量达成一致。不能达成一致的，总监理工程师应认真研究后审慎确定。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251" w:name="_bookmark132"/>
      <w:bookmarkEnd w:id="251"/>
      <w:r>
        <w:rPr>
          <w:rFonts w:hint="eastAsia" w:asciiTheme="minorEastAsia" w:hAnsiTheme="minorEastAsia" w:eastAsiaTheme="minorEastAsia" w:cstheme="minorEastAsia"/>
          <w:b/>
          <w:bCs/>
          <w:color w:val="auto"/>
          <w:spacing w:val="0"/>
          <w:w w:val="100"/>
          <w:sz w:val="21"/>
          <w:szCs w:val="21"/>
          <w:highlight w:val="none"/>
        </w:rPr>
        <w:t>4.承包人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52" w:name="_bookmark133"/>
      <w:bookmarkEnd w:id="252"/>
      <w:r>
        <w:rPr>
          <w:rFonts w:hint="eastAsia" w:asciiTheme="minorEastAsia" w:hAnsiTheme="minorEastAsia" w:eastAsiaTheme="minorEastAsia" w:cstheme="minorEastAsia"/>
          <w:color w:val="auto"/>
          <w:spacing w:val="0"/>
          <w:w w:val="100"/>
          <w:sz w:val="21"/>
          <w:szCs w:val="21"/>
          <w:highlight w:val="none"/>
        </w:rPr>
        <w:t>4.1 承包人的一般义务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4.1.1 遵守法律</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承包人在履行合同过程中应遵守法律，并保证发包人免于承担因承包人违反法律而引起的任何责任。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4.1.2 依法纳税</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承包人应按有关法律规定纳税，应缴纳的税金包括在合同价格内。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4.1.3 完成各项承包工作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4.1.4 对施工作业和施工方法的完备性负责承包人应按合同约定的工作内容和施工进度要求，编制施工组织设计和施工措施计划，并对所有施工作业和施工方法的完备性和安全可靠性负责。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4.1.5 保证工程施工和人员的安全承包人应按第9.2款约定采取施工安全措施，确保工程及其人员、材料、设备和设施的安全，防止因工程施工造成的人身伤害和财产损失。</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4.1.6 负责施工场地及其周边环境与生态的保护工作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承包人应按照第9.4款约定负责施工场地及其周边环境与生态的保护工作。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4.1.7 避免施工对公众与他人的利益造成损害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4.1.8 为他人提供方便承包人应按监理人的指示为他人在施工场地或附近实施与工程有关的其他各项工作提供可能的条件。除合同另有约定外，提供有关条件的内容和可能发生的费用，由监理人按第3.5款商定或确定。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4.1.9 工程的维护和照管工程接收证书颁发前，承包人应负责照管和维护工程。工程接收证书颁发时尚有部分未竣工工程的，承包人还应负责该未竣工工程的照管和维护工作，直至竣工后移交给发包人为止。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4.1.10 其他义务承包人应履行合同约定的其他义务。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53" w:name="4.2 履约担保"/>
      <w:bookmarkEnd w:id="253"/>
      <w:bookmarkStart w:id="254" w:name="_bookmark134"/>
      <w:bookmarkEnd w:id="254"/>
      <w:r>
        <w:rPr>
          <w:rFonts w:hint="eastAsia" w:asciiTheme="minorEastAsia" w:hAnsiTheme="minorEastAsia" w:eastAsiaTheme="minorEastAsia" w:cstheme="minorEastAsia"/>
          <w:color w:val="auto"/>
          <w:spacing w:val="0"/>
          <w:w w:val="100"/>
          <w:sz w:val="21"/>
          <w:szCs w:val="21"/>
          <w:highlight w:val="none"/>
        </w:rPr>
        <w:t>4.2 履约担保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承包人应保证其履约担保在发包人颁发工程接收证书前一直有效。发包人应在工程接收证书颁发后28天内把履约担保退还给承包人。</w:t>
      </w:r>
    </w:p>
    <w:p>
      <w:pPr>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0" w:firstLineChars="0"/>
        <w:jc w:val="both"/>
        <w:textAlignment w:val="auto"/>
        <w:outlineLvl w:val="9"/>
        <w:rPr>
          <w:rFonts w:hint="eastAsia" w:asciiTheme="minorEastAsia" w:hAnsiTheme="minorEastAsia" w:eastAsiaTheme="minorEastAsia" w:cstheme="minorEastAsia"/>
          <w:b w:val="0"/>
          <w:bCs w:val="0"/>
          <w:color w:val="auto"/>
          <w:spacing w:val="0"/>
          <w:w w:val="100"/>
          <w:sz w:val="21"/>
          <w:szCs w:val="21"/>
          <w:highlight w:val="none"/>
        </w:rPr>
      </w:pPr>
      <w:bookmarkStart w:id="255" w:name="4.3 分包"/>
      <w:bookmarkEnd w:id="255"/>
      <w:bookmarkStart w:id="256" w:name="_bookmark135"/>
      <w:bookmarkEnd w:id="256"/>
      <w:r>
        <w:rPr>
          <w:rFonts w:hint="eastAsia" w:asciiTheme="minorEastAsia" w:hAnsiTheme="minorEastAsia" w:eastAsiaTheme="minorEastAsia" w:cstheme="minorEastAsia"/>
          <w:b w:val="0"/>
          <w:bCs w:val="0"/>
          <w:color w:val="auto"/>
          <w:spacing w:val="0"/>
          <w:w w:val="100"/>
          <w:sz w:val="21"/>
          <w:szCs w:val="21"/>
          <w:highlight w:val="none"/>
        </w:rPr>
        <w:t>4.3 分包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4.3.1 承包人不得将其承包的全部工程转包给第三人，或将其承包的全部工程肢解后以分包的名义转包给第三人。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4.3.2 承包人不得将工程主体、关键性工作分包给第三人。除专用合同条款另有约定外，未经发包人同意，承包人不得将工程的其他部分或工作分包给第三人。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4.3.3 分包人的资格能力应与其分包工程的标准和规模相适应。</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4.3.4 按投标函附录约定分包工程的，承包人应向发包人和监理人提交分包合同副本。</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4.3.5 承包人应与分包人就分包工程向发包人承担连带责任。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57" w:name="4.4 联合体"/>
      <w:bookmarkEnd w:id="257"/>
      <w:bookmarkStart w:id="258" w:name="_bookmark136"/>
      <w:bookmarkEnd w:id="258"/>
      <w:r>
        <w:rPr>
          <w:rFonts w:hint="eastAsia" w:asciiTheme="minorEastAsia" w:hAnsiTheme="minorEastAsia" w:eastAsiaTheme="minorEastAsia" w:cstheme="minorEastAsia"/>
          <w:color w:val="auto"/>
          <w:spacing w:val="0"/>
          <w:w w:val="100"/>
          <w:sz w:val="21"/>
          <w:szCs w:val="21"/>
          <w:highlight w:val="none"/>
        </w:rPr>
        <w:t>4.4 联合体</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4.4.1 联合体各方应共同与发包人签订合同协议书。联合体各方应为履行合同承担连带责任。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4.4.2 联合体协议经发包人确认后作为合同附件。在履行合同过程中，未经发包人同意，不得修改联合体协议。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4.4.3 联合体牵头人负责与发包人和监理人联系，并接受指示，负责组织联合体各成员全面履行合同。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59" w:name="_bookmark137"/>
      <w:bookmarkEnd w:id="259"/>
      <w:bookmarkStart w:id="260" w:name="4.5 承包人项目经理"/>
      <w:bookmarkEnd w:id="260"/>
      <w:r>
        <w:rPr>
          <w:rFonts w:hint="eastAsia" w:asciiTheme="minorEastAsia" w:hAnsiTheme="minorEastAsia" w:eastAsiaTheme="minorEastAsia" w:cstheme="minorEastAsia"/>
          <w:color w:val="auto"/>
          <w:spacing w:val="0"/>
          <w:w w:val="100"/>
          <w:sz w:val="21"/>
          <w:szCs w:val="21"/>
          <w:highlight w:val="none"/>
        </w:rPr>
        <w:t>4.5 承包人项目经理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4.5.1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4.5.3 承包人为履行合同发出的一切函件均应盖有承包人授权的施工场地管理机构章，并由承包人项目经理或其授权代表签字。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4.5.4 承包人项目经理可以授权其下属人员履行其某项职责，但事先应将这些人员的姓名和授权范围通知监理人。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61" w:name="_bookmark138"/>
      <w:bookmarkEnd w:id="261"/>
      <w:bookmarkStart w:id="262" w:name="4.6 承包人人员的管理"/>
      <w:bookmarkEnd w:id="262"/>
      <w:r>
        <w:rPr>
          <w:rFonts w:hint="eastAsia" w:asciiTheme="minorEastAsia" w:hAnsiTheme="minorEastAsia" w:eastAsiaTheme="minorEastAsia" w:cstheme="minorEastAsia"/>
          <w:color w:val="auto"/>
          <w:spacing w:val="0"/>
          <w:w w:val="100"/>
          <w:sz w:val="21"/>
          <w:szCs w:val="21"/>
          <w:highlight w:val="none"/>
        </w:rPr>
        <w:t>4.6 承包人人员的管理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4.6.2 为完成合同约定的各项工作，承包人应向施工场地派遣或雇佣足够数量的下列人员：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（1）具有相应资格的专业技工和合格的普工；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（2）具有相应施工经验的技术人员；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（3）具有相应岗位资格的各级管理人员。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4.6.3 承包人安排在施工场地的主要管理人员和技术骨干应相对稳定。承包人更换主要管理人员和技术骨干时，应取得监理人的同意。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4.6.4 特殊岗位的工作人员均应持有相应的资格证明，监理人有权随时检查。监理人认为有必要时，可进行现场考核。</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63" w:name="_bookmark139"/>
      <w:bookmarkEnd w:id="263"/>
      <w:bookmarkStart w:id="264" w:name="4.7 撤换承包人项目经理和其他人员"/>
      <w:bookmarkEnd w:id="264"/>
      <w:r>
        <w:rPr>
          <w:rFonts w:hint="eastAsia" w:asciiTheme="minorEastAsia" w:hAnsiTheme="minorEastAsia" w:eastAsiaTheme="minorEastAsia" w:cstheme="minorEastAsia"/>
          <w:color w:val="auto"/>
          <w:spacing w:val="0"/>
          <w:w w:val="100"/>
          <w:sz w:val="21"/>
          <w:szCs w:val="21"/>
          <w:highlight w:val="none"/>
        </w:rPr>
        <w:t>4.7 撤换承包人项目经理和其他人员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承包人应对其项目经理和其他人员进行有效管理。监理人要求撤换不能胜任本职工作、行为不端或玩忽职守的承包人项目经理和其他人员的，承包人应予以撤换。</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65" w:name="4.8 保障承包人人员的合法权益"/>
      <w:bookmarkEnd w:id="265"/>
      <w:bookmarkStart w:id="266" w:name="_bookmark140"/>
      <w:bookmarkEnd w:id="266"/>
      <w:r>
        <w:rPr>
          <w:rFonts w:hint="eastAsia" w:asciiTheme="minorEastAsia" w:hAnsiTheme="minorEastAsia" w:eastAsiaTheme="minorEastAsia" w:cstheme="minorEastAsia"/>
          <w:color w:val="auto"/>
          <w:spacing w:val="0"/>
          <w:w w:val="100"/>
          <w:sz w:val="21"/>
          <w:szCs w:val="21"/>
          <w:highlight w:val="none"/>
        </w:rPr>
        <w:t>4.8 保障承包人人员的合法权益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4.8.1 承包人应与其雇佣的人员签订劳动合同，并按时发放工资。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4.8.3 承包人应为其雇佣人员提供必要的食宿条件，以及符合环境保护和卫生要求的生活环境，在远离城镇的施工场地，还应配备必要的伤病防治和急救的医务人员与医疗设施。</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4.8.5 承包人应按有关法律规定和合同约定，为其雇佣人员办理保险。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4.8.6 承包人应负责处理其雇佣人员因工伤亡事故的善后事宜。</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67" w:name="_bookmark141"/>
      <w:bookmarkEnd w:id="267"/>
      <w:bookmarkStart w:id="268" w:name="4.9 工程价款应专款专用"/>
      <w:bookmarkEnd w:id="268"/>
      <w:r>
        <w:rPr>
          <w:rFonts w:hint="eastAsia" w:asciiTheme="minorEastAsia" w:hAnsiTheme="minorEastAsia" w:eastAsiaTheme="minorEastAsia" w:cstheme="minorEastAsia"/>
          <w:color w:val="auto"/>
          <w:spacing w:val="0"/>
          <w:w w:val="100"/>
          <w:sz w:val="21"/>
          <w:szCs w:val="21"/>
          <w:highlight w:val="none"/>
        </w:rPr>
        <w:t>4.9 工程价款应专款专用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发包人按合同约定支付给承包人的各项价款应专用于合同工程。</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69" w:name="_bookmark142"/>
      <w:bookmarkEnd w:id="269"/>
      <w:bookmarkStart w:id="270" w:name="4.10 承包人现场查勘                            "/>
      <w:bookmarkEnd w:id="270"/>
      <w:r>
        <w:rPr>
          <w:rFonts w:hint="eastAsia" w:asciiTheme="minorEastAsia" w:hAnsiTheme="minorEastAsia" w:eastAsiaTheme="minorEastAsia" w:cstheme="minorEastAsia"/>
          <w:color w:val="auto"/>
          <w:spacing w:val="0"/>
          <w:w w:val="100"/>
          <w:sz w:val="21"/>
          <w:szCs w:val="21"/>
          <w:highlight w:val="none"/>
        </w:rPr>
        <w:t>4.10 承包人现场查勘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4.10.1 发包人应将其持有的现场地质勘探资料、水文气象资料提供给承包人，并对其准确性负责。但承包人应对其阅读上述有关资料后所作出的解释和推断负责。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71" w:name="_bookmark143"/>
      <w:bookmarkEnd w:id="271"/>
      <w:bookmarkStart w:id="272" w:name="4.11 不利物质条件"/>
      <w:bookmarkEnd w:id="272"/>
      <w:r>
        <w:rPr>
          <w:rFonts w:hint="eastAsia" w:asciiTheme="minorEastAsia" w:hAnsiTheme="minorEastAsia" w:eastAsiaTheme="minorEastAsia" w:cstheme="minorEastAsia"/>
          <w:color w:val="auto"/>
          <w:spacing w:val="0"/>
          <w:w w:val="100"/>
          <w:sz w:val="21"/>
          <w:szCs w:val="21"/>
          <w:highlight w:val="none"/>
        </w:rPr>
        <w:t>4.11 不利物质条件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4.11.1 不利物质条件，除专用合同条款另有约定外，是指承包人在施工场地遇到的不可预见的自然物质条件、非自然的物质障碍和污染物，包括地下和水文条件，但不包括气候条件。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273" w:name="_bookmark144"/>
      <w:bookmarkEnd w:id="273"/>
      <w:r>
        <w:rPr>
          <w:rFonts w:hint="eastAsia" w:asciiTheme="minorEastAsia" w:hAnsiTheme="minorEastAsia" w:eastAsiaTheme="minorEastAsia" w:cstheme="minorEastAsia"/>
          <w:b/>
          <w:bCs/>
          <w:color w:val="auto"/>
          <w:spacing w:val="0"/>
          <w:w w:val="100"/>
          <w:sz w:val="21"/>
          <w:szCs w:val="21"/>
          <w:highlight w:val="none"/>
        </w:rPr>
        <w:t>5.材料和工程设备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74" w:name="_bookmark145"/>
      <w:bookmarkEnd w:id="274"/>
      <w:r>
        <w:rPr>
          <w:rFonts w:hint="eastAsia" w:asciiTheme="minorEastAsia" w:hAnsiTheme="minorEastAsia" w:eastAsiaTheme="minorEastAsia" w:cstheme="minorEastAsia"/>
          <w:color w:val="auto"/>
          <w:spacing w:val="0"/>
          <w:w w:val="100"/>
          <w:sz w:val="21"/>
          <w:szCs w:val="21"/>
          <w:highlight w:val="none"/>
        </w:rPr>
        <w:t>5.1 承包人提供的材料和工程设备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5.1.1 除专用合同条款另有约定外，承包人提供的材料和工程设备均由承包人负责采购、运输和保管。承包人应对其采购的材料和工程设备负责。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75" w:name="_bookmark146"/>
      <w:bookmarkEnd w:id="275"/>
      <w:r>
        <w:rPr>
          <w:rFonts w:hint="eastAsia" w:asciiTheme="minorEastAsia" w:hAnsiTheme="minorEastAsia" w:eastAsiaTheme="minorEastAsia" w:cstheme="minorEastAsia"/>
          <w:color w:val="auto"/>
          <w:spacing w:val="0"/>
          <w:w w:val="100"/>
          <w:sz w:val="21"/>
          <w:szCs w:val="21"/>
          <w:highlight w:val="none"/>
        </w:rPr>
        <w:t>5.2 发包人提供的材料和工程设备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5.2.1 发包人提供的材料和工程设备，应在专用合同条款中写明材料和工程设备的名称、规格、数量、价格、交货方式、交货地点和计划交货日期等。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5.2.2 承包人应根据合同进度计划的安排，向监理人报送要求发包人交货的日期计划。发包人应按照监理人与合同双方当事人商定的交货日期，向承包人提交材料和工程设备。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5.2.4 发包人要求向承包人提前交货的，承包人不得拒绝，但发包人应承担承包人由此增加的费用。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5.2.5 承包人要求更改交货日期或地点的，应事先报请监理人批准。由于承包人要求更改交货时间或地点所增加的费用和（或）工期延误由承包人承担。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76" w:name="_bookmark147"/>
      <w:bookmarkEnd w:id="276"/>
      <w:r>
        <w:rPr>
          <w:rFonts w:hint="eastAsia" w:asciiTheme="minorEastAsia" w:hAnsiTheme="minorEastAsia" w:eastAsiaTheme="minorEastAsia" w:cstheme="minorEastAsia"/>
          <w:color w:val="auto"/>
          <w:spacing w:val="0"/>
          <w:w w:val="100"/>
          <w:sz w:val="21"/>
          <w:szCs w:val="21"/>
          <w:highlight w:val="none"/>
        </w:rPr>
        <w:t>5.3 材料和工程设备专用于合同工程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5.3.1 运入施工场地的材料、工程设备，包括备品备件、安装专用工器具与随机资料，必须专用于合同工程，未经监理人同意，承包人不得运出施工场地或挪作他用。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77" w:name="5.4 禁止使用不合格的材料和工程设备"/>
      <w:bookmarkEnd w:id="277"/>
      <w:bookmarkStart w:id="278" w:name="_bookmark148"/>
      <w:bookmarkEnd w:id="278"/>
      <w:r>
        <w:rPr>
          <w:rFonts w:hint="eastAsia" w:asciiTheme="minorEastAsia" w:hAnsiTheme="minorEastAsia" w:eastAsiaTheme="minorEastAsia" w:cstheme="minorEastAsia"/>
          <w:color w:val="auto"/>
          <w:spacing w:val="0"/>
          <w:w w:val="100"/>
          <w:sz w:val="21"/>
          <w:szCs w:val="21"/>
          <w:highlight w:val="none"/>
        </w:rPr>
        <w:t>5.4 禁止使用不合格的材料和工程设备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5.4.1 监理人有权拒绝承包人提供的不合格材料或工程设备，并要求承包人立即进行更换。监理人应在更换后再次进行检查和检验，由此增加的费用和（或）工期延误由承包人承担。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5.4.2 监理人发现承包人使用了不合格的材料和工程设备，应即时发出指示要求承包人立即改正，并禁止在工程中继续使用不合格的材料和工程设备。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5.4.3 发包人提供的材料或工程设备不符合合同要求的，承包人有权拒绝，并可要求发包人更换，由此增加的费用和（或）工期延误由发包人承担。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279" w:name="_bookmark149"/>
      <w:bookmarkEnd w:id="279"/>
      <w:r>
        <w:rPr>
          <w:rFonts w:hint="eastAsia" w:asciiTheme="minorEastAsia" w:hAnsiTheme="minorEastAsia" w:eastAsiaTheme="minorEastAsia" w:cstheme="minorEastAsia"/>
          <w:b/>
          <w:bCs/>
          <w:color w:val="auto"/>
          <w:spacing w:val="0"/>
          <w:w w:val="100"/>
          <w:sz w:val="21"/>
          <w:szCs w:val="21"/>
          <w:highlight w:val="none"/>
        </w:rPr>
        <w:t>6.施工设备和临时设施</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80" w:name="_bookmark150"/>
      <w:bookmarkEnd w:id="280"/>
      <w:r>
        <w:rPr>
          <w:rFonts w:hint="eastAsia" w:asciiTheme="minorEastAsia" w:hAnsiTheme="minorEastAsia" w:eastAsiaTheme="minorEastAsia" w:cstheme="minorEastAsia"/>
          <w:color w:val="auto"/>
          <w:spacing w:val="0"/>
          <w:w w:val="100"/>
          <w:sz w:val="21"/>
          <w:szCs w:val="21"/>
          <w:highlight w:val="none"/>
        </w:rPr>
        <w:t>6.1 承包人提供的施工设备和临时设施</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6.1.1 承包人应按合同进度计划的要求，及时配置施工设备和修建临时设施。进入施工场地的承包人设备需经监理人核查后才能投入使用。承包人更换合同约定的承包人设备的，应报监理人批准。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6.1.2 除专用合同条款另有约定外，承包人应自行承担修建临时设施的费用，需要临时占地的，应由发包人办理申请手续并承担相应费用。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81" w:name="_bookmark151"/>
      <w:bookmarkEnd w:id="281"/>
      <w:r>
        <w:rPr>
          <w:rFonts w:hint="eastAsia" w:asciiTheme="minorEastAsia" w:hAnsiTheme="minorEastAsia" w:eastAsiaTheme="minorEastAsia" w:cstheme="minorEastAsia"/>
          <w:color w:val="auto"/>
          <w:spacing w:val="0"/>
          <w:w w:val="100"/>
          <w:sz w:val="21"/>
          <w:szCs w:val="21"/>
          <w:highlight w:val="none"/>
        </w:rPr>
        <w:t>6.2 发包人提供的施工设备和临时设施</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发包人提供的施工设备或临时设施在专用合同条款中约定。</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82" w:name="_bookmark152"/>
      <w:bookmarkEnd w:id="282"/>
      <w:r>
        <w:rPr>
          <w:rFonts w:hint="eastAsia" w:asciiTheme="minorEastAsia" w:hAnsiTheme="minorEastAsia" w:eastAsiaTheme="minorEastAsia" w:cstheme="minorEastAsia"/>
          <w:color w:val="auto"/>
          <w:spacing w:val="0"/>
          <w:w w:val="100"/>
          <w:sz w:val="21"/>
          <w:szCs w:val="21"/>
          <w:highlight w:val="none"/>
        </w:rPr>
        <w:t>6.3 要求承包人增加或更换施工设备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承包人使用的施工设备不能满足合同进度计划和（或）质量要求时，监理人有权要求承包人增加或更换施工设备，承包人应及时增加或更换，由此增加的费用和（或）工期延误由承包人承担。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83" w:name="6.4 施工设备和临时设施专用于合同工程"/>
      <w:bookmarkEnd w:id="283"/>
      <w:bookmarkStart w:id="284" w:name="_bookmark153"/>
      <w:bookmarkEnd w:id="284"/>
      <w:r>
        <w:rPr>
          <w:rFonts w:hint="eastAsia" w:asciiTheme="minorEastAsia" w:hAnsiTheme="minorEastAsia" w:eastAsiaTheme="minorEastAsia" w:cstheme="minorEastAsia"/>
          <w:color w:val="auto"/>
          <w:spacing w:val="0"/>
          <w:w w:val="100"/>
          <w:sz w:val="21"/>
          <w:szCs w:val="21"/>
          <w:highlight w:val="none"/>
        </w:rPr>
        <w:t>6.4 施工设备和临时设施专用于合同工程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6.4.1 除合同另有约定外，运入施工场地的所有施工设备以及在施工场地建设的临时设施应专用于合同工程。未经监理人同意，不得将上述施工设备和临时设施中的任何部分运出施工场地或挪作他用。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6.4.2 经监理人同意，承包人可根据合同进度计划撤走闲置的施工设备。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285" w:name="_bookmark154"/>
      <w:bookmarkEnd w:id="285"/>
      <w:r>
        <w:rPr>
          <w:rFonts w:hint="eastAsia" w:asciiTheme="minorEastAsia" w:hAnsiTheme="minorEastAsia" w:eastAsiaTheme="minorEastAsia" w:cstheme="minorEastAsia"/>
          <w:b/>
          <w:bCs/>
          <w:color w:val="auto"/>
          <w:spacing w:val="0"/>
          <w:w w:val="100"/>
          <w:sz w:val="21"/>
          <w:szCs w:val="21"/>
          <w:highlight w:val="none"/>
        </w:rPr>
        <w:t>7.交通运输</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86" w:name="_bookmark155"/>
      <w:bookmarkEnd w:id="286"/>
      <w:r>
        <w:rPr>
          <w:rFonts w:hint="eastAsia" w:asciiTheme="minorEastAsia" w:hAnsiTheme="minorEastAsia" w:eastAsiaTheme="minorEastAsia" w:cstheme="minorEastAsia"/>
          <w:color w:val="auto"/>
          <w:spacing w:val="0"/>
          <w:w w:val="100"/>
          <w:sz w:val="21"/>
          <w:szCs w:val="21"/>
          <w:highlight w:val="none"/>
        </w:rPr>
        <w:t>7.1 道路通行权和场外设施</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87" w:name="7.2 场内施工道路"/>
      <w:bookmarkEnd w:id="287"/>
      <w:bookmarkStart w:id="288" w:name="_bookmark156"/>
      <w:bookmarkEnd w:id="288"/>
      <w:r>
        <w:rPr>
          <w:rFonts w:hint="eastAsia" w:asciiTheme="minorEastAsia" w:hAnsiTheme="minorEastAsia" w:eastAsiaTheme="minorEastAsia" w:cstheme="minorEastAsia"/>
          <w:color w:val="auto"/>
          <w:spacing w:val="0"/>
          <w:w w:val="100"/>
          <w:sz w:val="21"/>
          <w:szCs w:val="21"/>
          <w:highlight w:val="none"/>
        </w:rPr>
        <w:t>7.2 场内施工道路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7.2.1 除专用合同条款另有约定外，承包人应负责修建、维修、养护和管理施工所需的临时道路和交通设施，包括维修、养护和管理发包人提供的道路和交通设施，并承担相应费用。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7.2.2 除专用合同条款另有约定外，承包人修建的临时道路和交通设施应免费提供发包人和监理人使用。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89" w:name="7.3 场外交通"/>
      <w:bookmarkEnd w:id="289"/>
      <w:bookmarkStart w:id="290" w:name="_bookmark157"/>
      <w:bookmarkEnd w:id="290"/>
      <w:r>
        <w:rPr>
          <w:rFonts w:hint="eastAsia" w:asciiTheme="minorEastAsia" w:hAnsiTheme="minorEastAsia" w:eastAsiaTheme="minorEastAsia" w:cstheme="minorEastAsia"/>
          <w:color w:val="auto"/>
          <w:spacing w:val="0"/>
          <w:w w:val="100"/>
          <w:sz w:val="21"/>
          <w:szCs w:val="21"/>
          <w:highlight w:val="none"/>
        </w:rPr>
        <w:t>7.3 场外交通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7.3.1 承包人车辆外出行驶所需的场外公共道路的通行费、养路费和税款等由承包人承担。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7.3.2 承包人应遵守有关交通法规，严格按照道路和桥梁的限制荷重安全行驶，并服从交通管理部门的检查和监督。</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91" w:name="_bookmark158"/>
      <w:bookmarkEnd w:id="291"/>
      <w:bookmarkStart w:id="292" w:name="7.4 超大件和超重件的运输"/>
      <w:bookmarkEnd w:id="292"/>
      <w:r>
        <w:rPr>
          <w:rFonts w:hint="eastAsia" w:asciiTheme="minorEastAsia" w:hAnsiTheme="minorEastAsia" w:eastAsiaTheme="minorEastAsia" w:cstheme="minorEastAsia"/>
          <w:color w:val="auto"/>
          <w:spacing w:val="0"/>
          <w:w w:val="100"/>
          <w:sz w:val="21"/>
          <w:szCs w:val="21"/>
          <w:highlight w:val="none"/>
        </w:rPr>
        <w:t>7.4 超大件和超重件的运输</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93" w:name="7.5 道路和桥梁的损坏责任"/>
      <w:bookmarkEnd w:id="293"/>
      <w:bookmarkStart w:id="294" w:name="_bookmark159"/>
      <w:bookmarkEnd w:id="294"/>
      <w:r>
        <w:rPr>
          <w:rFonts w:hint="eastAsia" w:asciiTheme="minorEastAsia" w:hAnsiTheme="minorEastAsia" w:eastAsiaTheme="minorEastAsia" w:cstheme="minorEastAsia"/>
          <w:color w:val="auto"/>
          <w:spacing w:val="0"/>
          <w:w w:val="100"/>
          <w:sz w:val="21"/>
          <w:szCs w:val="21"/>
          <w:highlight w:val="none"/>
        </w:rPr>
        <w:t>7.5 道路和桥梁的损坏责任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因承包人运输造成施工场地内外公共道路和桥梁损坏的，由承包人承担修复损坏的全部费用和可能引起的赔偿。</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95" w:name="7.6 水路和航空运输"/>
      <w:bookmarkEnd w:id="295"/>
      <w:bookmarkStart w:id="296" w:name="_bookmark160"/>
      <w:bookmarkEnd w:id="296"/>
      <w:r>
        <w:rPr>
          <w:rFonts w:hint="eastAsia" w:asciiTheme="minorEastAsia" w:hAnsiTheme="minorEastAsia" w:eastAsiaTheme="minorEastAsia" w:cstheme="minorEastAsia"/>
          <w:color w:val="auto"/>
          <w:spacing w:val="0"/>
          <w:w w:val="100"/>
          <w:sz w:val="21"/>
          <w:szCs w:val="21"/>
          <w:highlight w:val="none"/>
        </w:rPr>
        <w:t>7.6 水路和航空运输</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297" w:name="_bookmark161"/>
      <w:bookmarkEnd w:id="297"/>
      <w:r>
        <w:rPr>
          <w:rFonts w:hint="eastAsia" w:asciiTheme="minorEastAsia" w:hAnsiTheme="minorEastAsia" w:eastAsiaTheme="minorEastAsia" w:cstheme="minorEastAsia"/>
          <w:b/>
          <w:bCs/>
          <w:color w:val="auto"/>
          <w:spacing w:val="0"/>
          <w:w w:val="100"/>
          <w:sz w:val="21"/>
          <w:szCs w:val="21"/>
          <w:highlight w:val="none"/>
        </w:rPr>
        <w:t>8.测量放线</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98" w:name="_bookmark162"/>
      <w:bookmarkEnd w:id="298"/>
      <w:r>
        <w:rPr>
          <w:rFonts w:hint="eastAsia" w:asciiTheme="minorEastAsia" w:hAnsiTheme="minorEastAsia" w:eastAsiaTheme="minorEastAsia" w:cstheme="minorEastAsia"/>
          <w:color w:val="auto"/>
          <w:spacing w:val="0"/>
          <w:w w:val="100"/>
          <w:sz w:val="21"/>
          <w:szCs w:val="21"/>
          <w:highlight w:val="none"/>
        </w:rPr>
        <w:t>8.1 施工控制网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8.1.2 承包人应负责管理施工控制网点。施工控制网点丢失或损坏的，承包人应及时修复。承包人应承担施工控制网点的管理与修复费用，并在工程竣工后将施工控制网点移交发包人。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299" w:name="_bookmark163"/>
      <w:bookmarkEnd w:id="299"/>
      <w:r>
        <w:rPr>
          <w:rFonts w:hint="eastAsia" w:asciiTheme="minorEastAsia" w:hAnsiTheme="minorEastAsia" w:eastAsiaTheme="minorEastAsia" w:cstheme="minorEastAsia"/>
          <w:color w:val="auto"/>
          <w:spacing w:val="0"/>
          <w:w w:val="100"/>
          <w:sz w:val="21"/>
          <w:szCs w:val="21"/>
          <w:highlight w:val="none"/>
        </w:rPr>
        <w:t>8.2 施工测量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8.2.1 承包人应负责施工过程中的全部施工测量放线工作，并配置合格的人员、仪器、设备和其他物品。</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8.2.2 监理人可以指示承包人进行抽样复测，当复测中发现错误或出现超过合同约定的误差时，承包人应按监理人指示进行修正或补测，并承担相应的复测费用。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00" w:name="_bookmark164"/>
      <w:bookmarkEnd w:id="300"/>
      <w:r>
        <w:rPr>
          <w:rFonts w:hint="eastAsia" w:asciiTheme="minorEastAsia" w:hAnsiTheme="minorEastAsia" w:eastAsiaTheme="minorEastAsia" w:cstheme="minorEastAsia"/>
          <w:color w:val="auto"/>
          <w:spacing w:val="0"/>
          <w:w w:val="100"/>
          <w:sz w:val="21"/>
          <w:szCs w:val="21"/>
          <w:highlight w:val="none"/>
        </w:rPr>
        <w:t>8.3 基准资料错误的责任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01" w:name="_bookmark165"/>
      <w:bookmarkEnd w:id="301"/>
      <w:r>
        <w:rPr>
          <w:rFonts w:hint="eastAsia" w:asciiTheme="minorEastAsia" w:hAnsiTheme="minorEastAsia" w:eastAsiaTheme="minorEastAsia" w:cstheme="minorEastAsia"/>
          <w:color w:val="auto"/>
          <w:spacing w:val="0"/>
          <w:w w:val="100"/>
          <w:sz w:val="21"/>
          <w:szCs w:val="21"/>
          <w:highlight w:val="none"/>
        </w:rPr>
        <w:t>8.4 监理人使用施工控制网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监理人需要使用施工控制网的，承包人应提供必要的协助，发包人不再为此支付费用。</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02" w:name="_bookmark166"/>
      <w:bookmarkEnd w:id="302"/>
      <w:r>
        <w:rPr>
          <w:rFonts w:hint="eastAsia" w:asciiTheme="minorEastAsia" w:hAnsiTheme="minorEastAsia" w:eastAsiaTheme="minorEastAsia" w:cstheme="minorEastAsia"/>
          <w:b/>
          <w:bCs/>
          <w:color w:val="auto"/>
          <w:spacing w:val="0"/>
          <w:w w:val="100"/>
          <w:sz w:val="21"/>
          <w:szCs w:val="21"/>
          <w:highlight w:val="none"/>
        </w:rPr>
        <w:t>9.施工安全、治安保卫和环境保护</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03" w:name="_bookmark167"/>
      <w:bookmarkEnd w:id="303"/>
      <w:bookmarkStart w:id="304" w:name="9.1 发包人的施工安全责任"/>
      <w:bookmarkEnd w:id="304"/>
      <w:r>
        <w:rPr>
          <w:rFonts w:hint="eastAsia" w:asciiTheme="minorEastAsia" w:hAnsiTheme="minorEastAsia" w:eastAsiaTheme="minorEastAsia" w:cstheme="minorEastAsia"/>
          <w:color w:val="auto"/>
          <w:spacing w:val="0"/>
          <w:w w:val="100"/>
          <w:sz w:val="21"/>
          <w:szCs w:val="21"/>
          <w:highlight w:val="none"/>
        </w:rPr>
        <w:t>9.1 发包人的施工安全责任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9.1.1 发包人应按合同约定履行安全职责，授权监理人按合同约定的安全工作内容监督、检查承包人安全工作的实施，组织承包人和有关单位进行安全检查。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9.1.2 发包人应对其现场机构雇佣的全部人员的工伤事故承担责任，但由于承包人原因造成发包人人员工伤的，应由承包人承担责任。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9.1.3 发包人应负责赔偿以下各种情况造成的第三者人身伤亡和财产损失：</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 工程或工程的任何部分对土地的占用所造成的第三者财产损失；</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 由于发包人原因在施工场地及其毗邻地带造成的第三者人身伤亡和财产损失。</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05" w:name="_bookmark168"/>
      <w:bookmarkEnd w:id="305"/>
      <w:bookmarkStart w:id="306" w:name="9.2 承包人的施工安全责任"/>
      <w:bookmarkEnd w:id="306"/>
      <w:r>
        <w:rPr>
          <w:rFonts w:hint="eastAsia" w:asciiTheme="minorEastAsia" w:hAnsiTheme="minorEastAsia" w:eastAsiaTheme="minorEastAsia" w:cstheme="minorEastAsia"/>
          <w:color w:val="auto"/>
          <w:spacing w:val="0"/>
          <w:w w:val="100"/>
          <w:sz w:val="21"/>
          <w:szCs w:val="21"/>
          <w:highlight w:val="none"/>
        </w:rPr>
        <w:t>9.2 承包人的施工安全责任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9.2.1 承包人应按合同约定履行安全职责,执行监理人有关安全工作的指示,并在专用合同条款约定的期限内，按合同约定的安全工作内容，编制施工安全措施计划报送监理人审批。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9.2.2 承包人应加强施工作业安全管理，特别应加强易燃、易爆材料、火工器材、有毒与腐蚀性材料和其他危险品的管理，以及对爆破作业和地下工程施工等危险作业的管理。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9.2.3 承包人应严格按照国家安全标准制定施工安全操作规程，配备必要的安全生产和劳动保护设施，加强对承包人人员的安全教育，并发放安全工作手册和劳动保护用具。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9.2.4 承包人应按监理人的指示制定应对灾害的紧急预案，报送监理人审批。承包人还应按预案做好安全检查，配置必要的救助物资和器材，切实保护好有关人员的人身和财产安全。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9.2.6 承包人应对其履行合同所雇佣的全部人员，包括分包人人员的工伤事故承担责任，但由于发包人原因造成承包人人员工伤事故的，应由发包人承担责任。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9.2.7 由于承包人原因在施工场地内及其毗邻地带造成的第三者人员伤亡和财产损失，由承包人负责赔偿。</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07" w:name="9.3 治安保卫"/>
      <w:bookmarkEnd w:id="307"/>
      <w:bookmarkStart w:id="308" w:name="_bookmark169"/>
      <w:bookmarkEnd w:id="308"/>
      <w:r>
        <w:rPr>
          <w:rFonts w:hint="eastAsia" w:asciiTheme="minorEastAsia" w:hAnsiTheme="minorEastAsia" w:eastAsiaTheme="minorEastAsia" w:cstheme="minorEastAsia"/>
          <w:color w:val="auto"/>
          <w:spacing w:val="0"/>
          <w:w w:val="100"/>
          <w:sz w:val="21"/>
          <w:szCs w:val="21"/>
          <w:highlight w:val="none"/>
        </w:rPr>
        <w:t>9.3 治安保卫</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9.3.1 除合同另有约定外，发包人应与当地公安部门协商，在现场建立治安管理机构或联防组织，统一管理施工场地的治安保卫事项，履行合同工程的治安保卫职责。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9.3.2 发包人和承包人除应协助现场治安管理机构或联防组织维护施工场地的社会治安外，还应做好包括生活区在内的各自管辖区的治安保卫工作。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09" w:name="9.4 环境保护"/>
      <w:bookmarkEnd w:id="309"/>
      <w:bookmarkStart w:id="310" w:name="_bookmark170"/>
      <w:bookmarkEnd w:id="310"/>
      <w:r>
        <w:rPr>
          <w:rFonts w:hint="eastAsia" w:asciiTheme="minorEastAsia" w:hAnsiTheme="minorEastAsia" w:eastAsiaTheme="minorEastAsia" w:cstheme="minorEastAsia"/>
          <w:color w:val="auto"/>
          <w:spacing w:val="0"/>
          <w:w w:val="100"/>
          <w:sz w:val="21"/>
          <w:szCs w:val="21"/>
          <w:highlight w:val="none"/>
        </w:rPr>
        <w:t>9.4 环境保护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9.4.1 承包人在施工过程中，应遵守有关环境保护的法律，履行合同约定的环境保护义务，并对违反法律和合同约定义务所造成的环境破坏、人身伤害和财产损失负责。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9.4.2 承包人应按合同约定的环保工作内容，编制施工环保措施计划，报送监理人审批。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9.4.4 承包人应按合同约定采取有效措施，对施工开挖的边坡及时进行支护,维护排水设施，并进行水土保护，避免因施工造成的地质灾害。</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9.4.5 承包人应按国家饮用水管理标准定期对饮用水源进行监测，防止施工活动污染饮用水源。</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9.4.6 承包人应按合同约定，加强对噪声、粉尘、废气、废水和废油的控制，努力降低噪声，控制粉尘和废气浓度，做好废水和废油的治理和排放。</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11" w:name="_bookmark171"/>
      <w:bookmarkEnd w:id="311"/>
      <w:bookmarkStart w:id="312" w:name="9.5 事故处理"/>
      <w:bookmarkEnd w:id="312"/>
      <w:r>
        <w:rPr>
          <w:rFonts w:hint="eastAsia" w:asciiTheme="minorEastAsia" w:hAnsiTheme="minorEastAsia" w:eastAsiaTheme="minorEastAsia" w:cstheme="minorEastAsia"/>
          <w:color w:val="auto"/>
          <w:spacing w:val="0"/>
          <w:w w:val="100"/>
          <w:sz w:val="21"/>
          <w:szCs w:val="21"/>
          <w:highlight w:val="none"/>
        </w:rPr>
        <w:t>9.5 事故处理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13" w:name="_bookmark172"/>
      <w:bookmarkEnd w:id="313"/>
      <w:r>
        <w:rPr>
          <w:rFonts w:hint="eastAsia" w:asciiTheme="minorEastAsia" w:hAnsiTheme="minorEastAsia" w:eastAsiaTheme="minorEastAsia" w:cstheme="minorEastAsia"/>
          <w:b/>
          <w:bCs/>
          <w:color w:val="auto"/>
          <w:spacing w:val="0"/>
          <w:w w:val="100"/>
          <w:sz w:val="21"/>
          <w:szCs w:val="21"/>
          <w:highlight w:val="none"/>
        </w:rPr>
        <w:t>10.进度计划</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14" w:name="10.1 合同进度计划"/>
      <w:bookmarkEnd w:id="314"/>
      <w:bookmarkStart w:id="315" w:name="_bookmark173"/>
      <w:bookmarkEnd w:id="315"/>
      <w:r>
        <w:rPr>
          <w:rFonts w:hint="eastAsia" w:asciiTheme="minorEastAsia" w:hAnsiTheme="minorEastAsia" w:eastAsiaTheme="minorEastAsia" w:cstheme="minorEastAsia"/>
          <w:color w:val="auto"/>
          <w:spacing w:val="0"/>
          <w:w w:val="100"/>
          <w:sz w:val="21"/>
          <w:szCs w:val="21"/>
          <w:highlight w:val="none"/>
        </w:rPr>
        <w:t>10.1 合同进度计划</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keepNext w:val="0"/>
        <w:keepLines w:val="0"/>
        <w:pageBreakBefore w:val="0"/>
        <w:widowControl w:val="0"/>
        <w:kinsoku/>
        <w:wordWrap/>
        <w:overflowPunct/>
        <w:topLinePunct w:val="0"/>
        <w:autoSpaceDE/>
        <w:autoSpaceDN/>
        <w:bidi w:val="0"/>
        <w:adjustRightInd w:val="0"/>
        <w:snapToGrid w:val="0"/>
        <w:spacing w:before="0" w:line="360" w:lineRule="auto"/>
        <w:ind w:left="0" w:right="0" w:firstLine="0" w:firstLineChars="0"/>
        <w:jc w:val="both"/>
        <w:textAlignment w:val="auto"/>
        <w:outlineLvl w:val="9"/>
        <w:rPr>
          <w:rFonts w:hint="eastAsia" w:asciiTheme="minorEastAsia" w:hAnsiTheme="minorEastAsia" w:eastAsiaTheme="minorEastAsia" w:cstheme="minorEastAsia"/>
          <w:color w:val="auto"/>
          <w:spacing w:val="0"/>
          <w:w w:val="100"/>
          <w:sz w:val="21"/>
          <w:szCs w:val="21"/>
          <w:highlight w:val="none"/>
          <w:u w:val="none"/>
        </w:rPr>
      </w:pPr>
      <w:bookmarkStart w:id="316" w:name="_bookmark174"/>
      <w:bookmarkEnd w:id="316"/>
      <w:bookmarkStart w:id="317" w:name="10.2 合同进度计划的修订"/>
      <w:bookmarkEnd w:id="317"/>
      <w:r>
        <w:rPr>
          <w:rFonts w:hint="eastAsia" w:asciiTheme="minorEastAsia" w:hAnsiTheme="minorEastAsia" w:eastAsiaTheme="minorEastAsia" w:cstheme="minorEastAsia"/>
          <w:color w:val="auto"/>
          <w:spacing w:val="0"/>
          <w:w w:val="100"/>
          <w:sz w:val="21"/>
          <w:szCs w:val="21"/>
          <w:highlight w:val="none"/>
          <w:u w:val="none"/>
        </w:rPr>
        <w:t>10.2 合同进度计划的修订</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18" w:name="11. 开工和竣工"/>
      <w:bookmarkEnd w:id="318"/>
      <w:bookmarkStart w:id="319" w:name="_bookmark175"/>
      <w:bookmarkEnd w:id="319"/>
      <w:r>
        <w:rPr>
          <w:rFonts w:hint="eastAsia" w:asciiTheme="minorEastAsia" w:hAnsiTheme="minorEastAsia" w:eastAsiaTheme="minorEastAsia" w:cstheme="minorEastAsia"/>
          <w:b/>
          <w:bCs/>
          <w:color w:val="auto"/>
          <w:spacing w:val="0"/>
          <w:w w:val="100"/>
          <w:sz w:val="21"/>
          <w:szCs w:val="21"/>
          <w:highlight w:val="none"/>
        </w:rPr>
        <w:t>11.开工和竣工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20" w:name="11.1 开工"/>
      <w:bookmarkEnd w:id="320"/>
      <w:bookmarkStart w:id="321" w:name="_bookmark176"/>
      <w:bookmarkEnd w:id="321"/>
      <w:r>
        <w:rPr>
          <w:rFonts w:hint="eastAsia" w:asciiTheme="minorEastAsia" w:hAnsiTheme="minorEastAsia" w:eastAsiaTheme="minorEastAsia" w:cstheme="minorEastAsia"/>
          <w:color w:val="auto"/>
          <w:spacing w:val="0"/>
          <w:w w:val="100"/>
          <w:sz w:val="21"/>
          <w:szCs w:val="21"/>
          <w:highlight w:val="none"/>
        </w:rPr>
        <w:t>11.1 开工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22" w:name="11.2 竣工"/>
      <w:bookmarkEnd w:id="322"/>
      <w:bookmarkStart w:id="323" w:name="_bookmark177"/>
      <w:bookmarkEnd w:id="323"/>
      <w:r>
        <w:rPr>
          <w:rFonts w:hint="eastAsia" w:asciiTheme="minorEastAsia" w:hAnsiTheme="minorEastAsia" w:eastAsiaTheme="minorEastAsia" w:cstheme="minorEastAsia"/>
          <w:color w:val="auto"/>
          <w:spacing w:val="0"/>
          <w:w w:val="100"/>
          <w:sz w:val="21"/>
          <w:szCs w:val="21"/>
          <w:highlight w:val="none"/>
        </w:rPr>
        <w:t>11.2 竣工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承包人应在第1.1.4.3目约定的期限内完成合同工程。实际竣工日期在接收证书中写明。</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24" w:name="11.3 发包人的工期延误"/>
      <w:bookmarkEnd w:id="324"/>
      <w:bookmarkStart w:id="325" w:name="_bookmark178"/>
      <w:bookmarkEnd w:id="325"/>
      <w:r>
        <w:rPr>
          <w:rFonts w:hint="eastAsia" w:asciiTheme="minorEastAsia" w:hAnsiTheme="minorEastAsia" w:eastAsiaTheme="minorEastAsia" w:cstheme="minorEastAsia"/>
          <w:color w:val="auto"/>
          <w:spacing w:val="0"/>
          <w:w w:val="100"/>
          <w:sz w:val="21"/>
          <w:szCs w:val="21"/>
          <w:highlight w:val="none"/>
        </w:rPr>
        <w:t>11.3 发包人的工期延误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在履行合同过程中，由于发包人的下列原因造成工期延误的，承包人有权要求发包人延长工期和（或）增加费用，并支付合理利润。需要修订合同进度计划的，按照第10.2款的约定办理。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（1）增加合同工作内容；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（2）改变合同中任何一项工作的质量要求或其他特性；</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（3）发包人迟延提供材料、工程设备或变更交货地点的；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（4）因发包人原因导致的暂停施工；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（5）提供图纸延误；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（6）未按合同约定及时支付预付款、进度款；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（7）发包人造成工期延误的其他原因。</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26" w:name="_bookmark179"/>
      <w:bookmarkEnd w:id="326"/>
      <w:bookmarkStart w:id="327" w:name="11.4 异常恶劣的气候条件"/>
      <w:bookmarkEnd w:id="327"/>
      <w:r>
        <w:rPr>
          <w:rFonts w:hint="eastAsia" w:asciiTheme="minorEastAsia" w:hAnsiTheme="minorEastAsia" w:eastAsiaTheme="minorEastAsia" w:cstheme="minorEastAsia"/>
          <w:color w:val="auto"/>
          <w:spacing w:val="0"/>
          <w:w w:val="100"/>
          <w:sz w:val="21"/>
          <w:szCs w:val="21"/>
          <w:highlight w:val="none"/>
        </w:rPr>
        <w:t>11.4 异常恶劣的气候条件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由于出现专用合同条款规定的异常恶劣气候的条件导致工期延误的，承包人有权要求发包人延长工期。</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28" w:name="_bookmark180"/>
      <w:bookmarkEnd w:id="328"/>
      <w:bookmarkStart w:id="329" w:name="11.5 承包人的工期延误"/>
      <w:bookmarkEnd w:id="329"/>
      <w:r>
        <w:rPr>
          <w:rFonts w:hint="eastAsia" w:asciiTheme="minorEastAsia" w:hAnsiTheme="minorEastAsia" w:eastAsiaTheme="minorEastAsia" w:cstheme="minorEastAsia"/>
          <w:color w:val="auto"/>
          <w:spacing w:val="0"/>
          <w:w w:val="100"/>
          <w:sz w:val="21"/>
          <w:szCs w:val="21"/>
          <w:highlight w:val="none"/>
        </w:rPr>
        <w:t>11.5 承包人的工期延误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30" w:name="11.6 工期提前"/>
      <w:bookmarkEnd w:id="330"/>
      <w:bookmarkStart w:id="331" w:name="_bookmark181"/>
      <w:bookmarkEnd w:id="331"/>
      <w:r>
        <w:rPr>
          <w:rFonts w:hint="eastAsia" w:asciiTheme="minorEastAsia" w:hAnsiTheme="minorEastAsia" w:eastAsiaTheme="minorEastAsia" w:cstheme="minorEastAsia"/>
          <w:color w:val="auto"/>
          <w:spacing w:val="0"/>
          <w:w w:val="100"/>
          <w:sz w:val="21"/>
          <w:szCs w:val="21"/>
          <w:highlight w:val="none"/>
        </w:rPr>
        <w:t>11.6 工期提前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32" w:name="12. 暂停施工"/>
      <w:bookmarkEnd w:id="332"/>
      <w:bookmarkStart w:id="333" w:name="_bookmark182"/>
      <w:bookmarkEnd w:id="333"/>
      <w:r>
        <w:rPr>
          <w:rFonts w:hint="eastAsia" w:asciiTheme="minorEastAsia" w:hAnsiTheme="minorEastAsia" w:eastAsiaTheme="minorEastAsia" w:cstheme="minorEastAsia"/>
          <w:b/>
          <w:bCs/>
          <w:color w:val="auto"/>
          <w:spacing w:val="0"/>
          <w:w w:val="100"/>
          <w:sz w:val="21"/>
          <w:szCs w:val="21"/>
          <w:highlight w:val="none"/>
        </w:rPr>
        <w:t>12.暂停施工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34" w:name="_bookmark183"/>
      <w:bookmarkEnd w:id="334"/>
      <w:bookmarkStart w:id="335" w:name="12.1 承包人暂停施工的责任"/>
      <w:bookmarkEnd w:id="335"/>
      <w:r>
        <w:rPr>
          <w:rFonts w:hint="eastAsia" w:asciiTheme="minorEastAsia" w:hAnsiTheme="minorEastAsia" w:eastAsiaTheme="minorEastAsia" w:cstheme="minorEastAsia"/>
          <w:color w:val="auto"/>
          <w:spacing w:val="0"/>
          <w:w w:val="100"/>
          <w:sz w:val="21"/>
          <w:szCs w:val="21"/>
          <w:highlight w:val="none"/>
        </w:rPr>
        <w:t>12.1 承包人暂停施工的责任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因下列暂停施工增加的费用和（或）工期延误由承包人承担：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（1）承包人违约引起的暂停施工；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（2）由于承包人原因为工程合理施工和安全保障所必需的暂停施工；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（3）承包人擅自暂停施工；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（4）承包人其他原因引起的暂停施工；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（5）专用合同条款约定由承包人承担的其他暂停施工。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36" w:name="12.2 发包人暂停施工的责任"/>
      <w:bookmarkEnd w:id="336"/>
      <w:bookmarkStart w:id="337" w:name="_bookmark184"/>
      <w:bookmarkEnd w:id="337"/>
      <w:r>
        <w:rPr>
          <w:rFonts w:hint="eastAsia" w:asciiTheme="minorEastAsia" w:hAnsiTheme="minorEastAsia" w:eastAsiaTheme="minorEastAsia" w:cstheme="minorEastAsia"/>
          <w:color w:val="auto"/>
          <w:spacing w:val="0"/>
          <w:w w:val="100"/>
          <w:sz w:val="21"/>
          <w:szCs w:val="21"/>
          <w:highlight w:val="none"/>
        </w:rPr>
        <w:t>12.2 发包人暂停施工的责任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由于发包人原因引起的暂停施工造成工期延误的，承包人有权要求发包人延长工期和（或）增加费用，并支付合理利润。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38" w:name="_bookmark185"/>
      <w:bookmarkEnd w:id="338"/>
      <w:bookmarkStart w:id="339" w:name="12.3 监理人暂停施工指示"/>
      <w:bookmarkEnd w:id="339"/>
      <w:r>
        <w:rPr>
          <w:rFonts w:hint="eastAsia" w:asciiTheme="minorEastAsia" w:hAnsiTheme="minorEastAsia" w:eastAsiaTheme="minorEastAsia" w:cstheme="minorEastAsia"/>
          <w:color w:val="auto"/>
          <w:spacing w:val="0"/>
          <w:w w:val="100"/>
          <w:sz w:val="21"/>
          <w:szCs w:val="21"/>
          <w:highlight w:val="none"/>
        </w:rPr>
        <w:t>12.3 监理人暂停施工指示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12.3.1 监理人认为有必要时，可向承包人作出暂停施工的指示，承包人应按监理人指示暂停施工。不论由于何种原因引起的暂停施工，暂停施工期间承包人应负责妥善保护工程并提供安全保障。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40" w:name="12.4 暂停施工后的复工"/>
      <w:bookmarkEnd w:id="340"/>
      <w:bookmarkStart w:id="341" w:name="_bookmark186"/>
      <w:bookmarkEnd w:id="341"/>
      <w:r>
        <w:rPr>
          <w:rFonts w:hint="eastAsia" w:asciiTheme="minorEastAsia" w:hAnsiTheme="minorEastAsia" w:eastAsiaTheme="minorEastAsia" w:cstheme="minorEastAsia"/>
          <w:color w:val="auto"/>
          <w:spacing w:val="0"/>
          <w:w w:val="100"/>
          <w:sz w:val="21"/>
          <w:szCs w:val="21"/>
          <w:highlight w:val="none"/>
        </w:rPr>
        <w:t>12.4 暂停施工后的复工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12.4.2 承包人无故拖延和拒绝复工的，由此增加的费用和工期延误由承包人承担；因发包人原因无法按时复工的，承包人有权要求发包人延长工期和（或）增加费用，并支付合理利润。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42" w:name="_bookmark187"/>
      <w:bookmarkEnd w:id="342"/>
      <w:bookmarkStart w:id="343" w:name="12.5 暂停施工持续56天以上"/>
      <w:bookmarkEnd w:id="343"/>
      <w:r>
        <w:rPr>
          <w:rFonts w:hint="eastAsia" w:asciiTheme="minorEastAsia" w:hAnsiTheme="minorEastAsia" w:eastAsiaTheme="minorEastAsia" w:cstheme="minorEastAsia"/>
          <w:color w:val="auto"/>
          <w:spacing w:val="0"/>
          <w:w w:val="100"/>
          <w:sz w:val="21"/>
          <w:szCs w:val="21"/>
          <w:highlight w:val="none"/>
        </w:rPr>
        <w:t>12.5 暂停施工持续56天以上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12.5.2 由于承包人责任引起的暂停施工，如承包人在收到监理人暂停施工指示后56天内不认真采取有效的复工措施，造成工期延误，可视为承包人违约，应按第22.1款的规定办理。</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44" w:name="13. 工程质量"/>
      <w:bookmarkEnd w:id="344"/>
      <w:bookmarkStart w:id="345" w:name="_bookmark188"/>
      <w:bookmarkEnd w:id="345"/>
      <w:r>
        <w:rPr>
          <w:rFonts w:hint="eastAsia" w:asciiTheme="minorEastAsia" w:hAnsiTheme="minorEastAsia" w:eastAsiaTheme="minorEastAsia" w:cstheme="minorEastAsia"/>
          <w:b/>
          <w:bCs/>
          <w:color w:val="auto"/>
          <w:spacing w:val="0"/>
          <w:w w:val="100"/>
          <w:sz w:val="21"/>
          <w:szCs w:val="21"/>
          <w:highlight w:val="none"/>
        </w:rPr>
        <w:t>13.工程质量</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46" w:name="13.1 工程质量要求"/>
      <w:bookmarkEnd w:id="346"/>
      <w:bookmarkStart w:id="347" w:name="_bookmark189"/>
      <w:bookmarkEnd w:id="347"/>
      <w:r>
        <w:rPr>
          <w:rFonts w:hint="eastAsia" w:asciiTheme="minorEastAsia" w:hAnsiTheme="minorEastAsia" w:eastAsiaTheme="minorEastAsia" w:cstheme="minorEastAsia"/>
          <w:color w:val="auto"/>
          <w:spacing w:val="0"/>
          <w:w w:val="100"/>
          <w:sz w:val="21"/>
          <w:szCs w:val="21"/>
          <w:highlight w:val="none"/>
        </w:rPr>
        <w:t>13.1 工程质量要求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13.1.1 工程质量验收按合同约定验收标准执行。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13.1.2 因承包人原因造成工程质量达不到合同约定验收标准的，监理人有权要求承包人返工直至符合合同要求为止，由此造成的费用增加和（或）工期延误由承包人承担。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13.1.3 因发包人原因造成工程质量达不到合同约定验收标准的，发包人应承担由于承包人返工造成的费用增加和（或）工期延误，并支付承包人合理利润。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48" w:name="_bookmark190"/>
      <w:bookmarkEnd w:id="348"/>
      <w:bookmarkStart w:id="349" w:name="13.2 承包人的质量管理"/>
      <w:bookmarkEnd w:id="349"/>
      <w:r>
        <w:rPr>
          <w:rFonts w:hint="eastAsia" w:asciiTheme="minorEastAsia" w:hAnsiTheme="minorEastAsia" w:eastAsiaTheme="minorEastAsia" w:cstheme="minorEastAsia"/>
          <w:color w:val="auto"/>
          <w:spacing w:val="0"/>
          <w:w w:val="100"/>
          <w:sz w:val="21"/>
          <w:szCs w:val="21"/>
          <w:highlight w:val="none"/>
        </w:rPr>
        <w:t>13.2 承包人的质量管理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13.2.2 承包人应加强对施工人员的质量教育和技术培训，定期考核施工人员的劳动技能，严格执行规范和操作规程。</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50" w:name="_bookmark191"/>
      <w:bookmarkEnd w:id="350"/>
      <w:bookmarkStart w:id="351" w:name="13.3 承包人的质量检查"/>
      <w:bookmarkEnd w:id="351"/>
      <w:r>
        <w:rPr>
          <w:rFonts w:hint="eastAsia" w:asciiTheme="minorEastAsia" w:hAnsiTheme="minorEastAsia" w:eastAsiaTheme="minorEastAsia" w:cstheme="minorEastAsia"/>
          <w:color w:val="auto"/>
          <w:spacing w:val="0"/>
          <w:w w:val="100"/>
          <w:sz w:val="21"/>
          <w:szCs w:val="21"/>
          <w:highlight w:val="none"/>
        </w:rPr>
        <w:t>13.3 承包人的质量检查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承包人应按合同约定对材料、工程设备以及工程的所有部位及其施工工艺进行全过程的质量检查和检验，并作详细记录，编制工程质量报表，报送监理人审查。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52" w:name="13.4 监理人的质量检查"/>
      <w:bookmarkEnd w:id="352"/>
      <w:bookmarkStart w:id="353" w:name="_bookmark192"/>
      <w:bookmarkEnd w:id="353"/>
      <w:r>
        <w:rPr>
          <w:rFonts w:hint="eastAsia" w:asciiTheme="minorEastAsia" w:hAnsiTheme="minorEastAsia" w:eastAsiaTheme="minorEastAsia" w:cstheme="minorEastAsia"/>
          <w:color w:val="auto"/>
          <w:spacing w:val="0"/>
          <w:w w:val="100"/>
          <w:sz w:val="21"/>
          <w:szCs w:val="21"/>
          <w:highlight w:val="none"/>
        </w:rPr>
        <w:t>13.4 监理人的质量检查</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54" w:name="13.5 工程隐蔽部位覆盖前的检查"/>
      <w:bookmarkEnd w:id="354"/>
      <w:bookmarkStart w:id="355" w:name="_bookmark193"/>
      <w:bookmarkEnd w:id="355"/>
      <w:r>
        <w:rPr>
          <w:rFonts w:hint="eastAsia" w:asciiTheme="minorEastAsia" w:hAnsiTheme="minorEastAsia" w:eastAsiaTheme="minorEastAsia" w:cstheme="minorEastAsia"/>
          <w:color w:val="auto"/>
          <w:spacing w:val="0"/>
          <w:w w:val="100"/>
          <w:sz w:val="21"/>
          <w:szCs w:val="21"/>
          <w:highlight w:val="none"/>
        </w:rPr>
        <w:t>13.5 工程隐蔽部位覆盖前的检查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13.5.1 通知监理人检查</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13.5.2 监理人未到场检查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13.5.3 监理人重新检查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13.5.4 承包人私自覆盖</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承包人未通知监理人到场检查，私自将工程隐蔽部位覆盖的，监理人有权指示承包人钻孔探测或揭开检查，由此增加的费用和（或）工期延误由承包人承担。</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56" w:name="_bookmark194"/>
      <w:bookmarkEnd w:id="356"/>
      <w:bookmarkStart w:id="357" w:name="13.6 清除不合格工程"/>
      <w:bookmarkEnd w:id="357"/>
      <w:r>
        <w:rPr>
          <w:rFonts w:hint="eastAsia" w:asciiTheme="minorEastAsia" w:hAnsiTheme="minorEastAsia" w:eastAsiaTheme="minorEastAsia" w:cstheme="minorEastAsia"/>
          <w:color w:val="auto"/>
          <w:spacing w:val="0"/>
          <w:w w:val="100"/>
          <w:sz w:val="21"/>
          <w:szCs w:val="21"/>
          <w:highlight w:val="none"/>
        </w:rPr>
        <w:t>13.6 清除不合格工程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13.6.2 由于发包人提供的材料或工程设备不合格造成的工程不合格，需要承包人采取措施补救的，发包人应承担由此增加的费用和（或）工期延误，并支付承包人合理利润。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58" w:name="14. 试验和检验"/>
      <w:bookmarkEnd w:id="358"/>
      <w:bookmarkStart w:id="359" w:name="_bookmark195"/>
      <w:bookmarkEnd w:id="359"/>
      <w:r>
        <w:rPr>
          <w:rFonts w:hint="eastAsia" w:asciiTheme="minorEastAsia" w:hAnsiTheme="minorEastAsia" w:eastAsiaTheme="minorEastAsia" w:cstheme="minorEastAsia"/>
          <w:b/>
          <w:bCs/>
          <w:color w:val="auto"/>
          <w:spacing w:val="0"/>
          <w:w w:val="100"/>
          <w:sz w:val="21"/>
          <w:szCs w:val="21"/>
          <w:highlight w:val="none"/>
        </w:rPr>
        <w:t>14.试验和检验</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60" w:name="_bookmark196"/>
      <w:bookmarkEnd w:id="360"/>
      <w:bookmarkStart w:id="361" w:name="14.1 材料、工程设备和工程的试验和检验"/>
      <w:bookmarkEnd w:id="361"/>
      <w:r>
        <w:rPr>
          <w:rFonts w:hint="eastAsia" w:asciiTheme="minorEastAsia" w:hAnsiTheme="minorEastAsia" w:eastAsiaTheme="minorEastAsia" w:cstheme="minorEastAsia"/>
          <w:color w:val="auto"/>
          <w:spacing w:val="0"/>
          <w:w w:val="100"/>
          <w:sz w:val="21"/>
          <w:szCs w:val="21"/>
          <w:highlight w:val="none"/>
        </w:rPr>
        <w:t>14.1 材料、工程设备和工程的试验和检验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14.1.2 监理人未按合同约定派员参加试验和检验的，除监理人另有指示外，承包人可自行试验和检验，并应立即将试验和检验结果报送监理人，监理人应签字确认。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62" w:name="_bookmark197"/>
      <w:bookmarkEnd w:id="362"/>
      <w:bookmarkStart w:id="363" w:name="14.2 现场材料试验"/>
      <w:bookmarkEnd w:id="363"/>
      <w:r>
        <w:rPr>
          <w:rFonts w:hint="eastAsia" w:asciiTheme="minorEastAsia" w:hAnsiTheme="minorEastAsia" w:eastAsiaTheme="minorEastAsia" w:cstheme="minorEastAsia"/>
          <w:color w:val="auto"/>
          <w:spacing w:val="0"/>
          <w:w w:val="100"/>
          <w:sz w:val="21"/>
          <w:szCs w:val="21"/>
          <w:highlight w:val="none"/>
        </w:rPr>
        <w:t>14.2 现场材料试验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14.2.1 承包人根据合同约定或监理人指示进行的现场材料试验，应由承包人提供试验场所、试验人员、试验设备器材以及其他必要的试验条件。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14.2.2 监理人在必要时可以使用承包人的试验场所、试验设备器材以及其他试验条件，进行以工程质量检查为目的的复核性材料试验，承包人应予以协助。</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64" w:name="14.3 现场工艺试验"/>
      <w:bookmarkEnd w:id="364"/>
      <w:bookmarkStart w:id="365" w:name="_bookmark198"/>
      <w:bookmarkEnd w:id="365"/>
      <w:r>
        <w:rPr>
          <w:rFonts w:hint="eastAsia" w:asciiTheme="minorEastAsia" w:hAnsiTheme="minorEastAsia" w:eastAsiaTheme="minorEastAsia" w:cstheme="minorEastAsia"/>
          <w:color w:val="auto"/>
          <w:spacing w:val="0"/>
          <w:w w:val="100"/>
          <w:sz w:val="21"/>
          <w:szCs w:val="21"/>
          <w:highlight w:val="none"/>
        </w:rPr>
        <w:t>14.3 现场工艺试验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1" w:firstLineChars="20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66" w:name="_bookmark199"/>
      <w:bookmarkEnd w:id="366"/>
      <w:bookmarkStart w:id="367" w:name="15. 变更"/>
      <w:bookmarkEnd w:id="367"/>
      <w:r>
        <w:rPr>
          <w:rFonts w:hint="eastAsia" w:asciiTheme="minorEastAsia" w:hAnsiTheme="minorEastAsia" w:eastAsiaTheme="minorEastAsia" w:cstheme="minorEastAsia"/>
          <w:b/>
          <w:bCs/>
          <w:color w:val="auto"/>
          <w:spacing w:val="0"/>
          <w:w w:val="100"/>
          <w:sz w:val="21"/>
          <w:szCs w:val="21"/>
          <w:highlight w:val="none"/>
        </w:rPr>
        <w:t>15.变更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68" w:name="_bookmark200"/>
      <w:bookmarkEnd w:id="368"/>
      <w:bookmarkStart w:id="369" w:name="15.1 变更的范围和内容"/>
      <w:bookmarkEnd w:id="369"/>
      <w:r>
        <w:rPr>
          <w:rFonts w:hint="eastAsia" w:asciiTheme="minorEastAsia" w:hAnsiTheme="minorEastAsia" w:eastAsiaTheme="minorEastAsia" w:cstheme="minorEastAsia"/>
          <w:color w:val="auto"/>
          <w:spacing w:val="0"/>
          <w:w w:val="100"/>
          <w:sz w:val="21"/>
          <w:szCs w:val="21"/>
          <w:highlight w:val="none"/>
        </w:rPr>
        <w:t>15.1 变更的范围和内容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除专用合同条款另有约定外，在履行合同中发生以下情形之一，应按照本条规定进行变更。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（1）取消合同中任何一项工作，但被取消的工作不能转由发包人或其他人实施；</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（2）改变合同中任何一项工作的质量或其他特性；</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（3）改变合同工程的基线、标高、位置或尺寸；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（4）改变合同中任何一项工作的施工时间或改变已批准的施工工艺或顺序；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（5）为完成工程需要追加的额外工作。</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70" w:name="_bookmark201"/>
      <w:bookmarkEnd w:id="370"/>
      <w:bookmarkStart w:id="371" w:name="15.2 变更权"/>
      <w:bookmarkEnd w:id="371"/>
      <w:r>
        <w:rPr>
          <w:rFonts w:hint="eastAsia" w:asciiTheme="minorEastAsia" w:hAnsiTheme="minorEastAsia" w:eastAsiaTheme="minorEastAsia" w:cstheme="minorEastAsia"/>
          <w:color w:val="auto"/>
          <w:spacing w:val="0"/>
          <w:w w:val="100"/>
          <w:sz w:val="21"/>
          <w:szCs w:val="21"/>
          <w:highlight w:val="none"/>
        </w:rPr>
        <w:t>15.2 变更权</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在履行合同过程中，经发包人同意，监理人可按第15.3款约定的变更程序向承包人作出变更指示，承包人应遵照执行。没有监理人的变更指示，承包人不得擅自变更。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72" w:name="_bookmark202"/>
      <w:bookmarkEnd w:id="372"/>
      <w:bookmarkStart w:id="373" w:name="15.3 变更程序"/>
      <w:bookmarkEnd w:id="373"/>
      <w:r>
        <w:rPr>
          <w:rFonts w:hint="eastAsia" w:asciiTheme="minorEastAsia" w:hAnsiTheme="minorEastAsia" w:eastAsiaTheme="minorEastAsia" w:cstheme="minorEastAsia"/>
          <w:color w:val="auto"/>
          <w:spacing w:val="0"/>
          <w:w w:val="100"/>
          <w:sz w:val="21"/>
          <w:szCs w:val="21"/>
          <w:highlight w:val="none"/>
        </w:rPr>
        <w:t>15.3 变更程序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15.3.1 变更的提出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（2）在合同履行过程中，发生第15.1款约定情形的，监理人应按照第15.3.3项约定向承包人发出变更指示。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（4）若承包人收到监理人的变更意向书后认为难以实施此项变更，应立即通知监理人，说明原因并附详细依据。监理人与承包人和发包人协商后确定撤销、改变或不改变原变更意向书。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15.3.2 变更估价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（2）变更工作影响工期的，承包人应提出调整工期的具体细节。监理人认为有必要时，可要求承包人提交要求提前或延长工期的施工进度计划及相应施工措施等详细资料。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（3）除专用合同条款对期限另有约定外，监理人收到承包人变更报价书后的14天内，根据第15.4款约定的估价原则，按照第3.5款商定或确定变更价格。</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15.3.3 变更指示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（1）变更指示只能由监理人发出。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（2）变更指示应说明变更的目的、范围、变更内容以及变更的工程量及其进度和技术要求，并附有关图纸和文件。承包人收到变更指示后，应按变更指示进行变更工作。</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74" w:name="_bookmark203"/>
      <w:bookmarkEnd w:id="374"/>
      <w:bookmarkStart w:id="375" w:name="15.4 变更的估价原则"/>
      <w:bookmarkEnd w:id="375"/>
      <w:r>
        <w:rPr>
          <w:rFonts w:hint="eastAsia" w:asciiTheme="minorEastAsia" w:hAnsiTheme="minorEastAsia" w:eastAsiaTheme="minorEastAsia" w:cstheme="minorEastAsia"/>
          <w:color w:val="auto"/>
          <w:spacing w:val="0"/>
          <w:w w:val="100"/>
          <w:sz w:val="21"/>
          <w:szCs w:val="21"/>
          <w:highlight w:val="none"/>
        </w:rPr>
        <w:t>15.4 变更的估价原则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除专用合同条款另有约定外，因变更引起的价格调整按照本款约定处理。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15.4.1 已标价工程量清单中有适用于变更工作的子目的，采用该子目的单价。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15.4.2 已标价工程量清单中无适用于变更工作的子目，但有类似子目的，可在合理范围内参照类似子目的单价，由监理人按第3.5款商定或确定变更工作的单价。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15.4.3 已标价工程量清单中无适用或类似子目的单价，可按照成本加利润的原则，由监理人按第3.5款商定或确定变更工作的单价。</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76" w:name="15.5 承包人的合理化建议"/>
      <w:bookmarkEnd w:id="376"/>
      <w:bookmarkStart w:id="377" w:name="_bookmark204"/>
      <w:bookmarkEnd w:id="377"/>
      <w:r>
        <w:rPr>
          <w:rFonts w:hint="eastAsia" w:asciiTheme="minorEastAsia" w:hAnsiTheme="minorEastAsia" w:eastAsiaTheme="minorEastAsia" w:cstheme="minorEastAsia"/>
          <w:color w:val="auto"/>
          <w:spacing w:val="0"/>
          <w:w w:val="100"/>
          <w:sz w:val="21"/>
          <w:szCs w:val="21"/>
          <w:highlight w:val="none"/>
        </w:rPr>
        <w:t>15.5 承包人的合理化建议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15.5.2 承包人提出的合理化建议降低了合同价格、缩短了工期或者提高了工程经济效益的，发包人可按国家有关规定在专用合同条款中约定给予奖励。</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78" w:name="_bookmark205"/>
      <w:bookmarkEnd w:id="378"/>
      <w:bookmarkStart w:id="379" w:name="15.6 暂列金额"/>
      <w:bookmarkEnd w:id="379"/>
      <w:r>
        <w:rPr>
          <w:rFonts w:hint="eastAsia" w:asciiTheme="minorEastAsia" w:hAnsiTheme="minorEastAsia" w:eastAsiaTheme="minorEastAsia" w:cstheme="minorEastAsia"/>
          <w:color w:val="auto"/>
          <w:spacing w:val="0"/>
          <w:w w:val="100"/>
          <w:sz w:val="21"/>
          <w:szCs w:val="21"/>
          <w:highlight w:val="none"/>
        </w:rPr>
        <w:t>15.6 暂列金额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暂列金额只能按照监理人的指示使用，并对合同价格进行相应调整。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80" w:name="_bookmark206"/>
      <w:bookmarkEnd w:id="380"/>
      <w:bookmarkStart w:id="381" w:name="15.7 计日工"/>
      <w:bookmarkEnd w:id="381"/>
      <w:r>
        <w:rPr>
          <w:rFonts w:hint="eastAsia" w:asciiTheme="minorEastAsia" w:hAnsiTheme="minorEastAsia" w:eastAsiaTheme="minorEastAsia" w:cstheme="minorEastAsia"/>
          <w:color w:val="auto"/>
          <w:spacing w:val="0"/>
          <w:w w:val="100"/>
          <w:sz w:val="21"/>
          <w:szCs w:val="21"/>
          <w:highlight w:val="none"/>
        </w:rPr>
        <w:t>15.7 计日工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15.7.1 发包人认为有必要时，由监理人通知承包人以计日工方式实施变更的零星工作。其价款按列入已标价工程量清单中的计日工计价子目及其单价进行计算。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15.7.2 采用计日工计价的任何一项变更工作，应从暂列金额中支付，承包人应在该项变更的实施过程中，每天提交以下报表和有关凭证报送监理人审批：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（1）工作名称、内容和数量；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（2）投入该工作所有人员的姓名、工种、级别和耗用工时；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（3）投入该工作的材料类别和数量；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（4）投入该工作的施工设备型号、台数和耗用台时；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（5）监理人要求提交的其他资料和凭证。</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15.7.3 计日工由承包人汇总后，按第17.3.2项的约定列入进度付款申请单，由监理人复核并经发包人同意后列入进度付款。</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82" w:name="_bookmark207"/>
      <w:bookmarkEnd w:id="382"/>
      <w:bookmarkStart w:id="383" w:name="15.8 暂估价"/>
      <w:bookmarkEnd w:id="383"/>
      <w:r>
        <w:rPr>
          <w:rFonts w:hint="eastAsia" w:asciiTheme="minorEastAsia" w:hAnsiTheme="minorEastAsia" w:eastAsiaTheme="minorEastAsia" w:cstheme="minorEastAsia"/>
          <w:color w:val="auto"/>
          <w:spacing w:val="0"/>
          <w:w w:val="100"/>
          <w:sz w:val="21"/>
          <w:szCs w:val="21"/>
          <w:highlight w:val="none"/>
        </w:rPr>
        <w:t>15.8 暂估价</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84" w:name="_bookmark208"/>
      <w:bookmarkEnd w:id="384"/>
      <w:bookmarkStart w:id="385" w:name="16. 价格调整"/>
      <w:bookmarkEnd w:id="385"/>
      <w:r>
        <w:rPr>
          <w:rFonts w:hint="eastAsia" w:asciiTheme="minorEastAsia" w:hAnsiTheme="minorEastAsia" w:eastAsiaTheme="minorEastAsia" w:cstheme="minorEastAsia"/>
          <w:b/>
          <w:bCs/>
          <w:color w:val="auto"/>
          <w:spacing w:val="0"/>
          <w:w w:val="100"/>
          <w:sz w:val="21"/>
          <w:szCs w:val="21"/>
          <w:highlight w:val="none"/>
        </w:rPr>
        <w:t>16.价格调整</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86" w:name="16.1 物价波动引起的价格调整"/>
      <w:bookmarkEnd w:id="386"/>
      <w:bookmarkStart w:id="387" w:name="_bookmark209"/>
      <w:bookmarkEnd w:id="387"/>
      <w:r>
        <w:rPr>
          <w:rFonts w:hint="eastAsia" w:asciiTheme="minorEastAsia" w:hAnsiTheme="minorEastAsia" w:eastAsiaTheme="minorEastAsia" w:cstheme="minorEastAsia"/>
          <w:color w:val="auto"/>
          <w:spacing w:val="0"/>
          <w:w w:val="100"/>
          <w:sz w:val="21"/>
          <w:szCs w:val="21"/>
          <w:highlight w:val="none"/>
        </w:rPr>
        <w:t>16.1 物价波动引起的价格调整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除专用合同条款另有约定外，因物价波动引起的价格调整按照本款约定处理。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16.1.1 采用价格指数调整价格差额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ascii="宋体" w:hAnsi="宋体" w:eastAsia="宋体" w:cs="宋体"/>
          <w:color w:val="auto"/>
          <w:sz w:val="20"/>
          <w:szCs w:val="20"/>
          <w:highlight w:val="none"/>
        </w:rPr>
      </w:pPr>
      <w:r>
        <w:rPr>
          <w:rFonts w:hint="eastAsia" w:asciiTheme="minorEastAsia" w:hAnsiTheme="minorEastAsia" w:eastAsiaTheme="minorEastAsia" w:cstheme="minorEastAsia"/>
          <w:color w:val="auto"/>
          <w:spacing w:val="0"/>
          <w:w w:val="100"/>
          <w:sz w:val="21"/>
          <w:szCs w:val="21"/>
          <w:highlight w:val="none"/>
        </w:rPr>
        <w:t>16.1.1.1 价格调整公式因人工、材料和设备等价格波动影响合同价格时，根据投标函附录中的价格指数和权重表约定的数据，按以下公式计算差额并调整合同价格。</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4"/>
          <w:szCs w:val="14"/>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hint="default" w:eastAsia="宋体"/>
          <w:color w:val="auto"/>
          <w:highlight w:val="none"/>
          <w:lang w:val="en-US" w:eastAsia="zh-CN"/>
        </w:rPr>
      </w:pPr>
      <w:r>
        <w:rPr>
          <w:rFonts w:ascii="Symbol" w:hAnsi="Symbol" w:eastAsia="Symbol" w:cs="Symbol"/>
          <w:color w:val="auto"/>
          <w:sz w:val="24"/>
          <w:szCs w:val="24"/>
          <w:highlight w:val="none"/>
        </w:rPr>
        <w:t></w:t>
      </w:r>
      <w:r>
        <w:rPr>
          <w:rFonts w:ascii="Times New Roman" w:hAnsi="Times New Roman" w:eastAsia="Times New Roman" w:cs="Times New Roman"/>
          <w:i/>
          <w:color w:val="auto"/>
          <w:sz w:val="24"/>
          <w:szCs w:val="24"/>
          <w:highlight w:val="none"/>
        </w:rPr>
        <w:t xml:space="preserve">P </w:t>
      </w:r>
      <w:r>
        <w:rPr>
          <w:rFonts w:ascii="Symbol" w:hAnsi="Symbol" w:eastAsia="Symbol" w:cs="Symbol"/>
          <w:color w:val="auto"/>
          <w:sz w:val="24"/>
          <w:szCs w:val="24"/>
          <w:highlight w:val="none"/>
        </w:rPr>
        <w:t></w:t>
      </w:r>
      <w:r>
        <w:rPr>
          <w:rFonts w:ascii="Symbol" w:hAnsi="Symbol" w:eastAsia="Symbol" w:cs="Symbol"/>
          <w:color w:val="auto"/>
          <w:spacing w:val="-4"/>
          <w:sz w:val="24"/>
          <w:szCs w:val="24"/>
          <w:highlight w:val="none"/>
        </w:rPr>
        <w:t></w:t>
      </w:r>
      <w:r>
        <w:rPr>
          <w:rFonts w:hint="eastAsia" w:ascii="Times New Roman" w:hAnsi="Times New Roman" w:eastAsia="宋体" w:cs="Times New Roman"/>
          <w:color w:val="auto"/>
          <w:spacing w:val="-17"/>
          <w:position w:val="-5"/>
          <w:sz w:val="14"/>
          <w:szCs w:val="14"/>
          <w:highlight w:val="none"/>
          <w:lang w:val="en-US" w:eastAsia="zh-CN"/>
        </w:rPr>
        <w:t xml:space="preserve">   </w:t>
      </w:r>
      <m:oMath>
        <m:sSub>
          <m:sSubPr>
            <m:ctrlPr>
              <w:rPr>
                <w:rFonts w:hint="default" w:ascii="DejaVu Math TeX Gyre" w:hAnsi="DejaVu Math TeX Gyre"/>
                <w:b w:val="0"/>
                <w:i w:val="0"/>
                <w:color w:val="auto"/>
                <w:sz w:val="24"/>
                <w:szCs w:val="24"/>
                <w:highlight w:val="none"/>
                <w:lang w:val="en-US"/>
              </w:rPr>
            </m:ctrlPr>
          </m:sSubPr>
          <m:e>
            <m:r>
              <m:rPr>
                <m:sty m:val="p"/>
              </m:rPr>
              <w:rPr>
                <w:rFonts w:hint="eastAsia" w:ascii="DejaVu Math TeX Gyre" w:hAnsi="DejaVu Math TeX Gyre"/>
                <w:color w:val="auto"/>
                <w:sz w:val="24"/>
                <w:szCs w:val="24"/>
                <w:highlight w:val="none"/>
                <w:lang w:val="en-US" w:eastAsia="zh-CN"/>
              </w:rPr>
              <m:t>P</m:t>
            </m:r>
            <m:ctrlPr>
              <w:rPr>
                <w:rFonts w:hint="default" w:ascii="DejaVu Math TeX Gyre" w:hAnsi="DejaVu Math TeX Gyre"/>
                <w:b w:val="0"/>
                <w:i w:val="0"/>
                <w:color w:val="auto"/>
                <w:sz w:val="24"/>
                <w:szCs w:val="24"/>
                <w:highlight w:val="none"/>
                <w:lang w:val="en-US"/>
              </w:rPr>
            </m:ctrlPr>
          </m:e>
          <m:sub>
            <m:r>
              <m:rPr>
                <m:sty m:val="p"/>
              </m:rPr>
              <w:rPr>
                <w:rFonts w:hint="eastAsia" w:ascii="DejaVu Math TeX Gyre" w:hAnsi="DejaVu Math TeX Gyre"/>
                <w:color w:val="auto"/>
                <w:sz w:val="24"/>
                <w:szCs w:val="24"/>
                <w:highlight w:val="none"/>
                <w:lang w:val="en-US" w:eastAsia="zh-CN"/>
              </w:rPr>
              <m:t>0</m:t>
            </m:r>
            <m:r>
              <m:rPr>
                <m:sty m:val="p"/>
              </m:rPr>
              <w:rPr>
                <w:rFonts w:hint="default" w:ascii="DejaVu Math TeX Gyre" w:hAnsi="DejaVu Math TeX Gyre"/>
                <w:color w:val="auto"/>
                <w:sz w:val="24"/>
                <w:szCs w:val="24"/>
                <w:highlight w:val="none"/>
                <w:lang w:val="en-US"/>
              </w:rPr>
              <m:t>×</m:t>
            </m:r>
            <m:ctrlPr>
              <w:rPr>
                <w:rFonts w:hint="default" w:ascii="DejaVu Math TeX Gyre" w:hAnsi="DejaVu Math TeX Gyre"/>
                <w:b w:val="0"/>
                <w:i w:val="0"/>
                <w:color w:val="auto"/>
                <w:sz w:val="24"/>
                <w:szCs w:val="24"/>
                <w:highlight w:val="none"/>
                <w:lang w:val="en-US"/>
              </w:rPr>
            </m:ctrlPr>
          </m:sub>
        </m:sSub>
        <m:d>
          <m:dPr>
            <m:begChr m:val="["/>
            <m:endChr m:val="]"/>
            <m:ctrlPr>
              <w:rPr>
                <w:rFonts w:hint="default" w:ascii="DejaVu Math TeX Gyre" w:hAnsi="DejaVu Math TeX Gyre"/>
                <w:b w:val="0"/>
                <w:i w:val="0"/>
                <w:color w:val="auto"/>
                <w:sz w:val="24"/>
                <w:szCs w:val="24"/>
                <w:highlight w:val="none"/>
                <w:lang w:val="en"/>
              </w:rPr>
            </m:ctrlPr>
          </m:dPr>
          <m:e>
            <m:r>
              <m:rPr>
                <m:sty m:val="p"/>
              </m:rPr>
              <w:rPr>
                <w:rFonts w:hint="default" w:ascii="DejaVu Math TeX Gyre" w:hAnsi="DejaVu Math TeX Gyre"/>
                <w:color w:val="auto"/>
                <w:sz w:val="24"/>
                <w:szCs w:val="24"/>
                <w:highlight w:val="none"/>
                <w:lang w:val="en"/>
              </w:rPr>
              <m:t>A+</m:t>
            </m:r>
            <m:d>
              <m:dPr>
                <m:ctrlPr>
                  <w:rPr>
                    <w:rFonts w:hint="default" w:ascii="DejaVu Math TeX Gyre" w:hAnsi="DejaVu Math TeX Gyre"/>
                    <w:b w:val="0"/>
                    <w:i w:val="0"/>
                    <w:color w:val="auto"/>
                    <w:sz w:val="24"/>
                    <w:szCs w:val="24"/>
                    <w:highlight w:val="none"/>
                    <w:lang w:val="en"/>
                  </w:rPr>
                </m:ctrlPr>
              </m:dPr>
              <m:e>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B</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1</m:t>
                    </m:r>
                    <m:ctrlPr>
                      <w:rPr>
                        <w:rFonts w:hint="default" w:ascii="DejaVu Math TeX Gyre" w:hAnsi="DejaVu Math TeX Gyre"/>
                        <w:b w:val="0"/>
                        <w:i w:val="0"/>
                        <w:color w:val="auto"/>
                        <w:sz w:val="24"/>
                        <w:szCs w:val="24"/>
                        <w:highlight w:val="none"/>
                        <w:lang w:val="en"/>
                      </w:rPr>
                    </m:ctrlPr>
                  </m:sub>
                </m:sSub>
                <m:r>
                  <m:rPr>
                    <m:sty m:val="p"/>
                  </m:rPr>
                  <w:rPr>
                    <w:rFonts w:hint="default" w:ascii="DejaVu Math TeX Gyre" w:hAnsi="DejaVu Math TeX Gyre"/>
                    <w:color w:val="auto"/>
                    <w:sz w:val="24"/>
                    <w:szCs w:val="24"/>
                    <w:highlight w:val="none"/>
                    <w:lang w:val="en"/>
                  </w:rPr>
                  <m:t>×</m:t>
                </m:r>
                <m:f>
                  <m:fPr>
                    <m:ctrlPr>
                      <w:rPr>
                        <w:rFonts w:hint="default" w:ascii="DejaVu Math TeX Gyre" w:hAnsi="DejaVu Math TeX Gyre"/>
                        <w:b w:val="0"/>
                        <w:i w:val="0"/>
                        <w:color w:val="auto"/>
                        <w:sz w:val="24"/>
                        <w:szCs w:val="24"/>
                        <w:highlight w:val="none"/>
                        <w:lang w:val="en"/>
                      </w:rPr>
                    </m:ctrlPr>
                  </m:fPr>
                  <m:num>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F</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t1</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num>
                  <m:den>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F</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01</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den>
                </m:f>
                <m:r>
                  <m:rPr>
                    <m:sty m:val="p"/>
                  </m:rPr>
                  <w:rPr>
                    <w:rFonts w:hint="default" w:ascii="DejaVu Math TeX Gyre" w:hAnsi="DejaVu Math TeX Gyre"/>
                    <w:color w:val="auto"/>
                    <w:sz w:val="24"/>
                    <w:szCs w:val="24"/>
                    <w:highlight w:val="none"/>
                    <w:lang w:val="en"/>
                  </w:rPr>
                  <m:t>+</m:t>
                </m:r>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B</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2</m:t>
                    </m:r>
                    <m:ctrlPr>
                      <w:rPr>
                        <w:rFonts w:hint="default" w:ascii="DejaVu Math TeX Gyre" w:hAnsi="DejaVu Math TeX Gyre"/>
                        <w:b w:val="0"/>
                        <w:i w:val="0"/>
                        <w:color w:val="auto"/>
                        <w:sz w:val="24"/>
                        <w:szCs w:val="24"/>
                        <w:highlight w:val="none"/>
                        <w:lang w:val="en"/>
                      </w:rPr>
                    </m:ctrlPr>
                  </m:sub>
                </m:sSub>
                <m:r>
                  <m:rPr>
                    <m:sty m:val="p"/>
                  </m:rPr>
                  <w:rPr>
                    <w:rFonts w:hint="default" w:ascii="DejaVu Math TeX Gyre" w:hAnsi="DejaVu Math TeX Gyre"/>
                    <w:color w:val="auto"/>
                    <w:sz w:val="24"/>
                    <w:szCs w:val="24"/>
                    <w:highlight w:val="none"/>
                    <w:lang w:val="en"/>
                  </w:rPr>
                  <m:t>×</m:t>
                </m:r>
                <m:f>
                  <m:fPr>
                    <m:ctrlPr>
                      <w:rPr>
                        <w:rFonts w:hint="default" w:ascii="DejaVu Math TeX Gyre" w:hAnsi="DejaVu Math TeX Gyre"/>
                        <w:b w:val="0"/>
                        <w:i w:val="0"/>
                        <w:color w:val="auto"/>
                        <w:sz w:val="24"/>
                        <w:szCs w:val="24"/>
                        <w:highlight w:val="none"/>
                        <w:lang w:val="en"/>
                      </w:rPr>
                    </m:ctrlPr>
                  </m:fPr>
                  <m:num>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F</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t2</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num>
                  <m:den>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F</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02</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den>
                </m:f>
                <m:r>
                  <m:rPr>
                    <m:sty m:val="p"/>
                  </m:rPr>
                  <w:rPr>
                    <w:rFonts w:hint="default" w:ascii="DejaVu Math TeX Gyre" w:hAnsi="DejaVu Math TeX Gyre"/>
                    <w:color w:val="auto"/>
                    <w:sz w:val="24"/>
                    <w:szCs w:val="24"/>
                    <w:highlight w:val="none"/>
                    <w:lang w:val="en"/>
                  </w:rPr>
                  <m:t>+</m:t>
                </m:r>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B</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3</m:t>
                    </m:r>
                    <m:ctrlPr>
                      <w:rPr>
                        <w:rFonts w:hint="default" w:ascii="DejaVu Math TeX Gyre" w:hAnsi="DejaVu Math TeX Gyre"/>
                        <w:b w:val="0"/>
                        <w:i w:val="0"/>
                        <w:color w:val="auto"/>
                        <w:sz w:val="24"/>
                        <w:szCs w:val="24"/>
                        <w:highlight w:val="none"/>
                        <w:lang w:val="en"/>
                      </w:rPr>
                    </m:ctrlPr>
                  </m:sub>
                </m:sSub>
                <m:r>
                  <m:rPr>
                    <m:sty m:val="p"/>
                  </m:rPr>
                  <w:rPr>
                    <w:rFonts w:hint="default" w:ascii="DejaVu Math TeX Gyre" w:hAnsi="DejaVu Math TeX Gyre"/>
                    <w:color w:val="auto"/>
                    <w:sz w:val="24"/>
                    <w:szCs w:val="24"/>
                    <w:highlight w:val="none"/>
                    <w:lang w:val="en"/>
                  </w:rPr>
                  <m:t>×</m:t>
                </m:r>
                <m:f>
                  <m:fPr>
                    <m:ctrlPr>
                      <w:rPr>
                        <w:rFonts w:hint="default" w:ascii="DejaVu Math TeX Gyre" w:hAnsi="DejaVu Math TeX Gyre"/>
                        <w:b w:val="0"/>
                        <w:i w:val="0"/>
                        <w:color w:val="auto"/>
                        <w:sz w:val="24"/>
                        <w:szCs w:val="24"/>
                        <w:highlight w:val="none"/>
                        <w:lang w:val="en"/>
                      </w:rPr>
                    </m:ctrlPr>
                  </m:fPr>
                  <m:num>
                    <m:sSub>
                      <m:sSubPr>
                        <m:ctrlPr>
                          <w:rPr>
                            <w:rFonts w:hint="default" w:ascii="DejaVu Math TeX Gyre" w:hAnsi="DejaVu Math TeX Gyre"/>
                            <w:b w:val="0"/>
                            <w:i w:val="0"/>
                            <w:color w:val="auto"/>
                            <w:sz w:val="24"/>
                            <w:szCs w:val="24"/>
                            <w:highlight w:val="none"/>
                            <w:lang w:val="en"/>
                          </w:rPr>
                        </m:ctrlPr>
                      </m:sSubPr>
                      <m:e>
                        <m:r>
                          <m:rPr>
                            <m:sty m:val="p"/>
                          </m:rPr>
                          <w:rPr>
                            <w:rFonts w:hint="default" w:ascii="DejaVu Math TeX Gyre" w:hAnsi="DejaVu Math TeX Gyre"/>
                            <w:color w:val="auto"/>
                            <w:sz w:val="24"/>
                            <w:szCs w:val="24"/>
                            <w:highlight w:val="none"/>
                            <w:lang w:val="en"/>
                          </w:rPr>
                          <m:t>F</m:t>
                        </m:r>
                        <m:ctrlPr>
                          <w:rPr>
                            <w:rFonts w:hint="default" w:ascii="DejaVu Math TeX Gyre" w:hAnsi="DejaVu Math TeX Gyre"/>
                            <w:b w:val="0"/>
                            <w:i w:val="0"/>
                            <w:color w:val="auto"/>
                            <w:sz w:val="24"/>
                            <w:szCs w:val="24"/>
                            <w:highlight w:val="none"/>
                            <w:lang w:val="en"/>
                          </w:rPr>
                        </m:ctrlPr>
                      </m:e>
                      <m:sub>
                        <m:r>
                          <m:rPr>
                            <m:sty m:val="p"/>
                          </m:rPr>
                          <w:rPr>
                            <w:rFonts w:hint="default" w:ascii="DejaVu Math TeX Gyre" w:hAnsi="DejaVu Math TeX Gyre"/>
                            <w:color w:val="auto"/>
                            <w:sz w:val="24"/>
                            <w:szCs w:val="24"/>
                            <w:highlight w:val="none"/>
                            <w:lang w:val="en"/>
                          </w:rPr>
                          <m:t>t3</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num>
                  <m:den>
                    <m:sSub>
                      <m:sSubPr>
                        <m:ctrlPr>
                          <w:rPr>
                            <w:rFonts w:hint="default" w:ascii="DejaVu Math TeX Gyre" w:hAnsi="DejaVu Math TeX Gyre"/>
                            <w:b w:val="0"/>
                            <w:i w:val="0"/>
                            <w:color w:val="auto"/>
                            <w:sz w:val="24"/>
                            <w:szCs w:val="24"/>
                            <w:highlight w:val="none"/>
                            <w:lang w:val="en"/>
                          </w:rPr>
                        </m:ctrlPr>
                      </m:sSubPr>
                      <m:e>
                        <m:r>
                          <m:rPr>
                            <m:sty m:val="p"/>
                          </m:rPr>
                          <w:rPr>
                            <w:rFonts w:hint="eastAsia" w:ascii="DejaVu Math TeX Gyre" w:hAnsi="DejaVu Math TeX Gyre"/>
                            <w:color w:val="auto"/>
                            <w:sz w:val="24"/>
                            <w:szCs w:val="24"/>
                            <w:highlight w:val="none"/>
                            <w:lang w:val="en-US" w:eastAsia="zh-CN"/>
                          </w:rPr>
                          <m:t>F</m:t>
                        </m:r>
                        <m:ctrlPr>
                          <w:rPr>
                            <w:rFonts w:hint="default" w:ascii="DejaVu Math TeX Gyre" w:hAnsi="DejaVu Math TeX Gyre"/>
                            <w:b w:val="0"/>
                            <w:i w:val="0"/>
                            <w:color w:val="auto"/>
                            <w:sz w:val="24"/>
                            <w:szCs w:val="24"/>
                            <w:highlight w:val="none"/>
                            <w:lang w:val="en"/>
                          </w:rPr>
                        </m:ctrlPr>
                      </m:e>
                      <m:sub>
                        <m:r>
                          <m:rPr>
                            <m:sty m:val="p"/>
                          </m:rPr>
                          <w:rPr>
                            <w:rFonts w:hint="eastAsia" w:ascii="DejaVu Math TeX Gyre" w:hAnsi="DejaVu Math TeX Gyre"/>
                            <w:color w:val="auto"/>
                            <w:sz w:val="24"/>
                            <w:szCs w:val="24"/>
                            <w:highlight w:val="none"/>
                            <w:lang w:val="en-US" w:eastAsia="zh-CN"/>
                          </w:rPr>
                          <m:t>03</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den>
                </m:f>
                <m:r>
                  <m:rPr>
                    <m:sty m:val="p"/>
                  </m:rPr>
                  <w:rPr>
                    <w:rFonts w:hint="default" w:ascii="DejaVu Math TeX Gyre" w:hAnsi="DejaVu Math TeX Gyre"/>
                    <w:color w:val="auto"/>
                    <w:sz w:val="24"/>
                    <w:szCs w:val="24"/>
                    <w:highlight w:val="none"/>
                    <w:lang w:val="en"/>
                  </w:rPr>
                  <m:t>+</m:t>
                </m:r>
                <m:r>
                  <m:rPr>
                    <m:sty m:val="p"/>
                  </m:rPr>
                  <w:rPr>
                    <w:rFonts w:hint="eastAsia" w:ascii="DejaVu Math TeX Gyre" w:hAnsi="DejaVu Math TeX Gyre"/>
                    <w:color w:val="auto"/>
                    <w:sz w:val="24"/>
                    <w:szCs w:val="24"/>
                    <w:highlight w:val="none"/>
                    <w:lang w:val="en" w:eastAsia="zh-CN"/>
                  </w:rPr>
                  <m:t>…</m:t>
                </m:r>
                <m:sSub>
                  <m:sSubPr>
                    <m:ctrlPr>
                      <w:rPr>
                        <w:rFonts w:hint="eastAsia" w:ascii="DejaVu Math TeX Gyre" w:hAnsi="DejaVu Math TeX Gyre"/>
                        <w:b w:val="0"/>
                        <w:i w:val="0"/>
                        <w:color w:val="auto"/>
                        <w:sz w:val="24"/>
                        <w:szCs w:val="24"/>
                        <w:highlight w:val="none"/>
                        <w:lang w:val="en" w:eastAsia="zh-CN"/>
                      </w:rPr>
                    </m:ctrlPr>
                  </m:sSubPr>
                  <m:e>
                    <m:r>
                      <m:rPr>
                        <m:sty m:val="p"/>
                      </m:rPr>
                      <w:rPr>
                        <w:rFonts w:hint="eastAsia" w:ascii="DejaVu Math TeX Gyre" w:hAnsi="DejaVu Math TeX Gyre"/>
                        <w:color w:val="auto"/>
                        <w:sz w:val="24"/>
                        <w:szCs w:val="24"/>
                        <w:highlight w:val="none"/>
                        <w:lang w:val="en-US" w:eastAsia="zh-CN"/>
                      </w:rPr>
                      <m:t>B</m:t>
                    </m:r>
                    <m:ctrlPr>
                      <w:rPr>
                        <w:rFonts w:hint="eastAsia" w:ascii="DejaVu Math TeX Gyre" w:hAnsi="DejaVu Math TeX Gyre"/>
                        <w:b w:val="0"/>
                        <w:i w:val="0"/>
                        <w:color w:val="auto"/>
                        <w:sz w:val="24"/>
                        <w:szCs w:val="24"/>
                        <w:highlight w:val="none"/>
                        <w:lang w:val="en" w:eastAsia="zh-CN"/>
                      </w:rPr>
                    </m:ctrlPr>
                  </m:e>
                  <m:sub>
                    <m:r>
                      <m:rPr>
                        <m:sty m:val="p"/>
                      </m:rPr>
                      <w:rPr>
                        <w:rFonts w:hint="eastAsia" w:ascii="DejaVu Math TeX Gyre" w:hAnsi="DejaVu Math TeX Gyre"/>
                        <w:color w:val="auto"/>
                        <w:sz w:val="24"/>
                        <w:szCs w:val="24"/>
                        <w:highlight w:val="none"/>
                        <w:lang w:val="en-US" w:eastAsia="zh-CN"/>
                      </w:rPr>
                      <m:t>n</m:t>
                    </m:r>
                    <m:ctrlPr>
                      <w:rPr>
                        <w:rFonts w:hint="eastAsia" w:ascii="DejaVu Math TeX Gyre" w:hAnsi="DejaVu Math TeX Gyre"/>
                        <w:b w:val="0"/>
                        <w:i w:val="0"/>
                        <w:color w:val="auto"/>
                        <w:sz w:val="24"/>
                        <w:szCs w:val="24"/>
                        <w:highlight w:val="none"/>
                        <w:lang w:val="en" w:eastAsia="zh-CN"/>
                      </w:rPr>
                    </m:ctrlPr>
                  </m:sub>
                </m:sSub>
                <m:r>
                  <m:rPr>
                    <m:sty m:val="p"/>
                  </m:rPr>
                  <w:rPr>
                    <w:rFonts w:hint="default" w:ascii="DejaVu Math TeX Gyre" w:hAnsi="DejaVu Math TeX Gyre"/>
                    <w:color w:val="auto"/>
                    <w:sz w:val="24"/>
                    <w:szCs w:val="24"/>
                    <w:highlight w:val="none"/>
                    <w:lang w:val="en"/>
                  </w:rPr>
                  <m:t>×</m:t>
                </m:r>
                <m:f>
                  <m:fPr>
                    <m:ctrlPr>
                      <w:rPr>
                        <w:rFonts w:hint="default" w:ascii="DejaVu Math TeX Gyre" w:hAnsi="DejaVu Math TeX Gyre"/>
                        <w:b w:val="0"/>
                        <w:i w:val="0"/>
                        <w:color w:val="auto"/>
                        <w:sz w:val="24"/>
                        <w:szCs w:val="24"/>
                        <w:highlight w:val="none"/>
                        <w:lang w:val="en"/>
                      </w:rPr>
                    </m:ctrlPr>
                  </m:fPr>
                  <m:num>
                    <m:sSub>
                      <m:sSubPr>
                        <m:ctrlPr>
                          <w:rPr>
                            <w:rFonts w:hint="default" w:ascii="DejaVu Math TeX Gyre" w:hAnsi="DejaVu Math TeX Gyre"/>
                            <w:b w:val="0"/>
                            <w:i w:val="0"/>
                            <w:color w:val="auto"/>
                            <w:sz w:val="24"/>
                            <w:szCs w:val="24"/>
                            <w:highlight w:val="none"/>
                            <w:lang w:val="en"/>
                          </w:rPr>
                        </m:ctrlPr>
                      </m:sSubPr>
                      <m:e>
                        <m:r>
                          <m:rPr>
                            <m:sty m:val="p"/>
                          </m:rPr>
                          <w:rPr>
                            <w:rFonts w:hint="eastAsia" w:ascii="DejaVu Math TeX Gyre" w:hAnsi="DejaVu Math TeX Gyre"/>
                            <w:color w:val="auto"/>
                            <w:sz w:val="24"/>
                            <w:szCs w:val="24"/>
                            <w:highlight w:val="none"/>
                            <w:lang w:val="en-US" w:eastAsia="zh-CN"/>
                          </w:rPr>
                          <m:t>F</m:t>
                        </m:r>
                        <m:ctrlPr>
                          <w:rPr>
                            <w:rFonts w:hint="default" w:ascii="DejaVu Math TeX Gyre" w:hAnsi="DejaVu Math TeX Gyre"/>
                            <w:b w:val="0"/>
                            <w:i w:val="0"/>
                            <w:color w:val="auto"/>
                            <w:sz w:val="24"/>
                            <w:szCs w:val="24"/>
                            <w:highlight w:val="none"/>
                            <w:lang w:val="en"/>
                          </w:rPr>
                        </m:ctrlPr>
                      </m:e>
                      <m:sub>
                        <m:r>
                          <m:rPr>
                            <m:sty m:val="p"/>
                          </m:rPr>
                          <w:rPr>
                            <w:rFonts w:hint="eastAsia" w:ascii="DejaVu Math TeX Gyre" w:hAnsi="DejaVu Math TeX Gyre"/>
                            <w:color w:val="auto"/>
                            <w:sz w:val="24"/>
                            <w:szCs w:val="24"/>
                            <w:highlight w:val="none"/>
                            <w:lang w:val="en-US" w:eastAsia="zh-CN"/>
                          </w:rPr>
                          <m:t>tn</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num>
                  <m:den>
                    <m:sSub>
                      <m:sSubPr>
                        <m:ctrlPr>
                          <w:rPr>
                            <w:rFonts w:hint="default" w:ascii="DejaVu Math TeX Gyre" w:hAnsi="DejaVu Math TeX Gyre"/>
                            <w:b w:val="0"/>
                            <w:i w:val="0"/>
                            <w:color w:val="auto"/>
                            <w:sz w:val="24"/>
                            <w:szCs w:val="24"/>
                            <w:highlight w:val="none"/>
                            <w:lang w:val="en"/>
                          </w:rPr>
                        </m:ctrlPr>
                      </m:sSubPr>
                      <m:e>
                        <m:r>
                          <m:rPr>
                            <m:sty m:val="p"/>
                          </m:rPr>
                          <w:rPr>
                            <w:rFonts w:hint="eastAsia" w:ascii="DejaVu Math TeX Gyre" w:hAnsi="DejaVu Math TeX Gyre"/>
                            <w:color w:val="auto"/>
                            <w:sz w:val="24"/>
                            <w:szCs w:val="24"/>
                            <w:highlight w:val="none"/>
                            <w:lang w:val="en-US" w:eastAsia="zh-CN"/>
                          </w:rPr>
                          <m:t>F</m:t>
                        </m:r>
                        <m:ctrlPr>
                          <w:rPr>
                            <w:rFonts w:hint="default" w:ascii="DejaVu Math TeX Gyre" w:hAnsi="DejaVu Math TeX Gyre"/>
                            <w:b w:val="0"/>
                            <w:i w:val="0"/>
                            <w:color w:val="auto"/>
                            <w:sz w:val="24"/>
                            <w:szCs w:val="24"/>
                            <w:highlight w:val="none"/>
                            <w:lang w:val="en"/>
                          </w:rPr>
                        </m:ctrlPr>
                      </m:e>
                      <m:sub>
                        <m:r>
                          <m:rPr>
                            <m:sty m:val="p"/>
                          </m:rPr>
                          <w:rPr>
                            <w:rFonts w:hint="eastAsia" w:ascii="DejaVu Math TeX Gyre" w:hAnsi="DejaVu Math TeX Gyre"/>
                            <w:color w:val="auto"/>
                            <w:sz w:val="24"/>
                            <w:szCs w:val="24"/>
                            <w:highlight w:val="none"/>
                            <w:lang w:val="en-US" w:eastAsia="zh-CN"/>
                          </w:rPr>
                          <m:t>0n</m:t>
                        </m:r>
                        <m:ctrlPr>
                          <w:rPr>
                            <w:rFonts w:hint="default" w:ascii="DejaVu Math TeX Gyre" w:hAnsi="DejaVu Math TeX Gyre"/>
                            <w:b w:val="0"/>
                            <w:i w:val="0"/>
                            <w:color w:val="auto"/>
                            <w:sz w:val="24"/>
                            <w:szCs w:val="24"/>
                            <w:highlight w:val="none"/>
                            <w:lang w:val="en"/>
                          </w:rPr>
                        </m:ctrlPr>
                      </m:sub>
                    </m:sSub>
                    <m:ctrlPr>
                      <w:rPr>
                        <w:rFonts w:hint="default" w:ascii="DejaVu Math TeX Gyre" w:hAnsi="DejaVu Math TeX Gyre"/>
                        <w:b w:val="0"/>
                        <w:i w:val="0"/>
                        <w:color w:val="auto"/>
                        <w:sz w:val="24"/>
                        <w:szCs w:val="24"/>
                        <w:highlight w:val="none"/>
                        <w:lang w:val="en"/>
                      </w:rPr>
                    </m:ctrlPr>
                  </m:den>
                </m:f>
                <m:ctrlPr>
                  <w:rPr>
                    <w:rFonts w:hint="default" w:ascii="DejaVu Math TeX Gyre" w:hAnsi="DejaVu Math TeX Gyre"/>
                    <w:b w:val="0"/>
                    <w:i w:val="0"/>
                    <w:color w:val="auto"/>
                    <w:sz w:val="24"/>
                    <w:szCs w:val="24"/>
                    <w:highlight w:val="none"/>
                    <w:lang w:val="en"/>
                  </w:rPr>
                </m:ctrlPr>
              </m:e>
            </m:d>
            <m:r>
              <m:rPr>
                <m:sty m:val="p"/>
              </m:rPr>
              <w:rPr>
                <w:rFonts w:hint="eastAsia" w:ascii="DejaVu Math TeX Gyre" w:hAnsi="DejaVu Math TeX Gyre"/>
                <w:color w:val="auto"/>
                <w:sz w:val="24"/>
                <w:szCs w:val="24"/>
                <w:highlight w:val="none"/>
                <w:lang w:val="en-US" w:eastAsia="zh-CN"/>
              </w:rPr>
              <m:t>−1</m:t>
            </m:r>
            <m:ctrlPr>
              <w:rPr>
                <w:rFonts w:hint="default" w:ascii="DejaVu Math TeX Gyre" w:hAnsi="DejaVu Math TeX Gyre"/>
                <w:b w:val="0"/>
                <w:i w:val="0"/>
                <w:color w:val="auto"/>
                <w:sz w:val="24"/>
                <w:szCs w:val="24"/>
                <w:highlight w:val="none"/>
                <w:lang w:val="en"/>
              </w:rPr>
            </m:ctrlPr>
          </m:e>
        </m:d>
      </m:oMath>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position w:val="0"/>
          <w:sz w:val="21"/>
          <w:highlight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position w:val="0"/>
          <w:sz w:val="21"/>
          <w:highlight w:val="none"/>
        </w:rPr>
      </w:pPr>
      <w:r>
        <w:rPr>
          <w:color w:val="auto"/>
          <w:spacing w:val="0"/>
          <w:w w:val="100"/>
          <w:position w:val="0"/>
          <w:sz w:val="21"/>
          <w:highlight w:val="none"/>
        </w:rPr>
        <w:t>式中：△P -- 需调整的价格差额；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position w:val="0"/>
          <w:sz w:val="21"/>
          <w:szCs w:val="21"/>
          <w:highlight w:val="none"/>
        </w:rPr>
      </w:pPr>
      <w:r>
        <w:rPr>
          <w:color w:val="auto"/>
          <w:spacing w:val="0"/>
          <w:w w:val="100"/>
          <w:position w:val="0"/>
          <w:sz w:val="21"/>
          <w:szCs w:val="21"/>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position w:val="0"/>
          <w:sz w:val="21"/>
          <w:szCs w:val="21"/>
          <w:highlight w:val="none"/>
        </w:rPr>
      </w:pPr>
      <w:r>
        <w:rPr>
          <w:color w:val="auto"/>
          <w:spacing w:val="0"/>
          <w:w w:val="100"/>
          <w:position w:val="0"/>
          <w:sz w:val="21"/>
          <w:szCs w:val="21"/>
          <w:highlight w:val="none"/>
        </w:rPr>
        <w:t>A -- 定值权重(即不调部分的权重)；</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B1; B2 ;B3·····Bn  -- 各可调因子的变值权重(即可调部分的权重)为各可调因子在投标函投标总报价中所占的比例；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position w:val="0"/>
          <w:sz w:val="21"/>
          <w:szCs w:val="21"/>
          <w:highlight w:val="none"/>
        </w:rPr>
      </w:pPr>
      <w:r>
        <w:rPr>
          <w:color w:val="auto"/>
          <w:spacing w:val="0"/>
          <w:w w:val="100"/>
          <w:position w:val="0"/>
          <w:sz w:val="21"/>
          <w:szCs w:val="21"/>
          <w:highlight w:val="none"/>
        </w:rPr>
        <w:t>Ft1 ;Ft2 ;Ft3·····Ftn  -- 各可调因子的现行价格指数，指第17.3.3项、第17.5.2项和第17.6.2项约定的付款证书相关周期最后一天的前42天的各可调因子的价格指数；</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Fo1; Fo2; Fo3·····Fon  -- 各可调因子的基本价格指数，指基准日期的各可调因子的价格指数。</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position w:val="0"/>
          <w:sz w:val="21"/>
          <w:szCs w:val="21"/>
          <w:highlight w:val="none"/>
        </w:rPr>
        <w:t>以上价格调整公式中的各可调因子、定值和变值权重，以及基本价格指数及其来源在投标函</w:t>
      </w:r>
      <w:r>
        <w:rPr>
          <w:rFonts w:hint="eastAsia" w:asciiTheme="minorEastAsia" w:hAnsiTheme="minorEastAsia" w:eastAsiaTheme="minorEastAsia" w:cstheme="minorEastAsia"/>
          <w:color w:val="auto"/>
          <w:spacing w:val="0"/>
          <w:w w:val="100"/>
          <w:sz w:val="21"/>
          <w:szCs w:val="21"/>
          <w:highlight w:val="none"/>
        </w:rPr>
        <w:t>附录价格指数和权重表中约定。价格指数应首先采用有关部门提供的价格指数，缺乏上述价格指数时，可采用有关部门提供的价格代替。</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16.1.1.2 暂时确定调整差额 在计算调整差额时得不到现行价格指数的，可暂用上一次价格指数计算，并在以后的付款中再按实际价格指数进行调整。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16.1.1.3 权重的调整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按第15.1款约定的变更导致原定合同中的权重不合理时，由监理人与承包人和发包人协商后进行调整。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16.1.1.4 承包人工期延误后的价格调整由于承包人原因未在约定的工期内竣工的，则对原约定竣工日期后继续施工的工程，在使用第16.1.1.1目价格调整公式时，应采用原约定竣工日期与实际竣工日期的两个价格指数中较低的一个作为现行价格指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16.1.2 采用造价信息调整价格差额施工期内，因人工、材料、设备和机械台班价格波动影响合同价格时，人工、机械使用费按照国家或省、自治区、直辖市建设行政管理部门、行业建设管理部门或其授权的工程造价管理机 构发布的人工成本信息、机械台班单价或机械使用费系数进行调整；需要进行价格调整的材料，其单价和采购数应由监理人复核，监理人确认需调整的材料单价及数量，作为调整工程合同价格差额的依据。</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88" w:name="16.2 法律变化引起的价格调整"/>
      <w:bookmarkEnd w:id="388"/>
      <w:bookmarkStart w:id="389" w:name="_bookmark210"/>
      <w:bookmarkEnd w:id="389"/>
      <w:r>
        <w:rPr>
          <w:rFonts w:hint="eastAsia" w:asciiTheme="minorEastAsia" w:hAnsiTheme="minorEastAsia" w:eastAsiaTheme="minorEastAsia" w:cstheme="minorEastAsia"/>
          <w:color w:val="auto"/>
          <w:spacing w:val="0"/>
          <w:w w:val="100"/>
          <w:sz w:val="21"/>
          <w:szCs w:val="21"/>
          <w:highlight w:val="none"/>
        </w:rPr>
        <w:t>16.2 法律变化引起的价格调整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390" w:name="_bookmark211"/>
      <w:bookmarkEnd w:id="390"/>
      <w:bookmarkStart w:id="391" w:name="17. 计量与支付"/>
      <w:bookmarkEnd w:id="391"/>
      <w:r>
        <w:rPr>
          <w:rFonts w:hint="eastAsia" w:asciiTheme="minorEastAsia" w:hAnsiTheme="minorEastAsia" w:eastAsiaTheme="minorEastAsia" w:cstheme="minorEastAsia"/>
          <w:b/>
          <w:bCs/>
          <w:color w:val="auto"/>
          <w:spacing w:val="0"/>
          <w:w w:val="100"/>
          <w:sz w:val="21"/>
          <w:szCs w:val="21"/>
          <w:highlight w:val="none"/>
        </w:rPr>
        <w:t>17.计量与支付</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92" w:name="_bookmark212"/>
      <w:bookmarkEnd w:id="392"/>
      <w:bookmarkStart w:id="393" w:name="17.1 计量"/>
      <w:bookmarkEnd w:id="393"/>
      <w:r>
        <w:rPr>
          <w:rFonts w:hint="eastAsia" w:asciiTheme="minorEastAsia" w:hAnsiTheme="minorEastAsia" w:eastAsiaTheme="minorEastAsia" w:cstheme="minorEastAsia"/>
          <w:color w:val="auto"/>
          <w:spacing w:val="0"/>
          <w:w w:val="100"/>
          <w:sz w:val="21"/>
          <w:szCs w:val="21"/>
          <w:highlight w:val="none"/>
        </w:rPr>
        <w:t>17.1 计量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17.1.1 计量单位</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计量采用国家法定的计量单位。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17.1.2 计量方法</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工程量清单中的工程量计算规则应按有关国家标准、行业标准的规定，并在合同中约定执行。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17.1.3 计量周期</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除专用合同条款另有约定外，单价子目已完成工程量按月计量，总价子目的计量周期按批准的支付分解报告确定。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17.1.4 单价子目的计量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（1）已标价工程量清单中的单价子目工程量为估算工程量。结算工程量是承包人实际完成的，并按合同约定的计量方法进行计量的工程量。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（2）承包人对已完成的工程进行计量，向监理人提交进度付款申请单、已完成工程量报表和有关计量资料。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（4）监理人认为有必要时，可通知承包人共同进行联合测量、计量，承包人应遵照执行。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（6）监理人应在收到承包人提交的工程量报表后的7天内进行复核，监理人未在约定时间内复核的，承包人提交的工程量报表中的工程量视为承包人实际完成的工程量，据此计算工程价款。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17.1.5 总价子目的计量</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除专用合同条款另有约定外，总价子目的分解和计量按照下述约定进行。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（1）总价子目的计量和支付应以总价为基础，不因第16.1款中的因素而进行调整。承包人实际完成的工程量，是进行工程目标管理和控制进度支付的依据。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（3）监理人对承包人提交的上述资料进行复核，以确定分阶段实际完成的工程量和工程形象目标。对其有异议的，可要求承包人按第8.2款约定进行共同复核和抽样复测。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（4）除按照第15条约定的变更外，总价子目的工程量是承包人用于结算的最终工程量。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94" w:name="17.2 预付款"/>
      <w:bookmarkEnd w:id="394"/>
      <w:bookmarkStart w:id="395" w:name="_bookmark213"/>
      <w:bookmarkEnd w:id="395"/>
      <w:r>
        <w:rPr>
          <w:rFonts w:hint="eastAsia" w:asciiTheme="minorEastAsia" w:hAnsiTheme="minorEastAsia" w:eastAsiaTheme="minorEastAsia" w:cstheme="minorEastAsia"/>
          <w:color w:val="auto"/>
          <w:spacing w:val="0"/>
          <w:w w:val="100"/>
          <w:sz w:val="21"/>
          <w:szCs w:val="21"/>
          <w:highlight w:val="none"/>
        </w:rPr>
        <w:t>17.2 预付款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17.2.1 预付款</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预付款用于承包人为合同工程施工购置材料、工程设备、施工设备、修建临时设施以及组织施工队伍进场等。预付款的额度和预付办法在专用合同条款中约定。预付款必须专用于合同工程。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17.2.2 预付款保函</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除专用合同条款另有约定外，承包人应在收到预付款的同时向发包人提交预付款保函，预付款保函的担保金额应与预付款金额相同。保函的担保金额可根据预付款扣回的金额相应递减。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17.2.3 预付款的扣回与还清 预付款在进度付款中扣回，扣回办法在专用合同条款中约定。在颁发工程接收证书前，由于不可抗力或其他原因解除合同时，预付款尚未扣清的，尚未扣清的预付款余额应作为承包人的到期应付款。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96" w:name="17.3 工程进度付款"/>
      <w:bookmarkEnd w:id="396"/>
      <w:bookmarkStart w:id="397" w:name="_bookmark214"/>
      <w:bookmarkEnd w:id="397"/>
      <w:r>
        <w:rPr>
          <w:rFonts w:hint="eastAsia" w:asciiTheme="minorEastAsia" w:hAnsiTheme="minorEastAsia" w:eastAsiaTheme="minorEastAsia" w:cstheme="minorEastAsia"/>
          <w:color w:val="auto"/>
          <w:spacing w:val="0"/>
          <w:w w:val="100"/>
          <w:sz w:val="21"/>
          <w:szCs w:val="21"/>
          <w:highlight w:val="none"/>
        </w:rPr>
        <w:t>17.3 工程进度付款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17.3.1 付款周期</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付款周期同计量周期。</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17.3.2 进度付款申请单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（1）截至本次付款周期末已实施工程的价款；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（2）根据第15条应增加和扣减的变更金额；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（3）根据第23条应增加和扣减的索赔金额；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（4）根据第17.2款约定应支付的预付款和扣减的返还预付款；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（5）根据第17.4.1项约定应扣减的质量保证金；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（6）根据合同应增加和扣减的其他金额。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17.3.3 进度付款证书和支付时间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（2）发包人应在监理人收到进度付款申请单后的28天内，将进度应付款支付给承包人。发包人不按期支付的，按专用合同条款的约定支付逾期付款违约金。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（3）监理人出具进度付款证书，不应视为监理人已同意、批准或接受了承包人完成的该部分工作。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（4）进度付款涉及政府投资资金的，按照国库集中支付等国家相关规定和专用合同条款的约定办理。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17.3.4 工程进度付款的修正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在对以往历次已签发的进度付款证书进行汇总和复核中发现错、漏或重复的，监理人有权予以修正，承包人也有权提出修正申请。经双方复核同意的修正，应在本次进度付款中支付或扣除。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398" w:name="_bookmark215"/>
      <w:bookmarkEnd w:id="398"/>
      <w:bookmarkStart w:id="399" w:name="17.4 质量保证金"/>
      <w:bookmarkEnd w:id="399"/>
      <w:r>
        <w:rPr>
          <w:rFonts w:hint="eastAsia" w:asciiTheme="minorEastAsia" w:hAnsiTheme="minorEastAsia" w:eastAsiaTheme="minorEastAsia" w:cstheme="minorEastAsia"/>
          <w:color w:val="auto"/>
          <w:spacing w:val="0"/>
          <w:w w:val="100"/>
          <w:sz w:val="21"/>
          <w:szCs w:val="21"/>
          <w:highlight w:val="none"/>
        </w:rPr>
        <w:t>17.4 质量保证金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17.4.2 在第1.1.4.5目约定的缺陷责任期满时，承包人向发包人申请到期应返还承包人剩余的质量保证金金额，发包人应在 14 天内会同承包人按照合同约定的内容核实承包人是否完成缺陷责任。如无异议，发包人应当在核实后将剩余保证金返还承包人。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00" w:name="_bookmark216"/>
      <w:bookmarkEnd w:id="400"/>
      <w:bookmarkStart w:id="401" w:name="17.5 竣工结算"/>
      <w:bookmarkEnd w:id="401"/>
      <w:r>
        <w:rPr>
          <w:rFonts w:hint="eastAsia" w:asciiTheme="minorEastAsia" w:hAnsiTheme="minorEastAsia" w:eastAsiaTheme="minorEastAsia" w:cstheme="minorEastAsia"/>
          <w:color w:val="auto"/>
          <w:spacing w:val="0"/>
          <w:w w:val="100"/>
          <w:sz w:val="21"/>
          <w:szCs w:val="21"/>
          <w:highlight w:val="none"/>
        </w:rPr>
        <w:t>17.5 竣工结算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17.5.1 竣工付款申请单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（2）监理人对竣工付款申请单有异议的，有权要求承包人进行修正和提供补充资料。经监理人和承包人协商后，由承包人向监理人提交修正后的竣工付款申请单。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17.5.2 竣工付款证书及支付时间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（2）发包人应在监理人出具竣工付款证书后的14天内，将应支付款支付给承包人。发包人不按期支付的，按第 17.3.3（2）目的约定，将逾期付款违约金支付给承包人。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（3）承包人对发包人签认的竣工付款证书有异议的，发包人可出具竣工付款申请单中承包人已同意部分的临时付款证书。存在争议的部分，按第24条的约定办理。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（4）竣工付款涉及政府投资资金的，按第17.3.3（４）目的约定办理。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02" w:name="17.6 最终结清"/>
      <w:bookmarkEnd w:id="402"/>
      <w:bookmarkStart w:id="403" w:name="_bookmark217"/>
      <w:bookmarkEnd w:id="403"/>
      <w:r>
        <w:rPr>
          <w:rFonts w:hint="eastAsia" w:asciiTheme="minorEastAsia" w:hAnsiTheme="minorEastAsia" w:eastAsiaTheme="minorEastAsia" w:cstheme="minorEastAsia"/>
          <w:color w:val="auto"/>
          <w:spacing w:val="0"/>
          <w:w w:val="100"/>
          <w:sz w:val="21"/>
          <w:szCs w:val="21"/>
          <w:highlight w:val="none"/>
        </w:rPr>
        <w:t>17.6 最终结清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17.6.1 最终结清申请单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（1）缺陷责任期终止证书签发后，承包人可按专用合同条款约定的份数和期限向监理人提交最终结清申请单，并提供相关证明材料。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（2）发包人对最终结清申请单内容有异议的，有权要求承包人进行修正和提供补充资料，由承包人向监理人提交修正后的最终结清申请单。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17.6.2 最终结清证书和支付时间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（1）监理人收到承包人提交的最终结清申请单后的14天内，提出发包人应支付给承包人的价款送发包人审核并抄送承包人。发包人应在收到后14天内审核完毕，由监理人向承包人出具 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（2）发包人应在监理人出具最终结清证书后的14天内，将应支付款支付给承包人。发包人不按期支付的，按第17.3.3（2）目的约定，将逾期付款违约金支付给承包人。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（3）承包人对发包人签认的最终结清证书有异议的，按第24条的约定办理。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（4）最终结清付款涉及政府投资资金的，按第17.3.3（４）目的约定办理。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404" w:name="18. 竣工验收"/>
      <w:bookmarkEnd w:id="404"/>
      <w:bookmarkStart w:id="405" w:name="_bookmark218"/>
      <w:bookmarkEnd w:id="405"/>
      <w:r>
        <w:rPr>
          <w:rFonts w:hint="eastAsia" w:asciiTheme="minorEastAsia" w:hAnsiTheme="minorEastAsia" w:eastAsiaTheme="minorEastAsia" w:cstheme="minorEastAsia"/>
          <w:b/>
          <w:bCs/>
          <w:color w:val="auto"/>
          <w:spacing w:val="0"/>
          <w:w w:val="100"/>
          <w:sz w:val="21"/>
          <w:szCs w:val="21"/>
          <w:highlight w:val="none"/>
        </w:rPr>
        <w:t>18.竣工验收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06" w:name="18.1 竣工验收的含义"/>
      <w:bookmarkEnd w:id="406"/>
      <w:bookmarkStart w:id="407" w:name="_bookmark219"/>
      <w:bookmarkEnd w:id="407"/>
      <w:r>
        <w:rPr>
          <w:rFonts w:hint="eastAsia" w:asciiTheme="minorEastAsia" w:hAnsiTheme="minorEastAsia" w:eastAsiaTheme="minorEastAsia" w:cstheme="minorEastAsia"/>
          <w:color w:val="auto"/>
          <w:spacing w:val="0"/>
          <w:w w:val="100"/>
          <w:sz w:val="21"/>
          <w:szCs w:val="21"/>
          <w:highlight w:val="none"/>
        </w:rPr>
        <w:t>18.1 竣工验收的含义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18.1.1 竣工验收指承包人完成了全部合同工作后，发包人按合同要求进行的验收。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18.1.2 国家验收是政府有关部门根据法律、规范、规程和政策要求，针对发包人全面组织实施的整个工程正式交付投运前的验收。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18.1.3 需要进行国家验收的，竣工验收是国家验收的一部分。竣工验收所采用的各项验收和评定标准应符合国家验收标准。发包人和承包人为竣工验收提供的各项竣工验收资料应符合国家验收的要求。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08" w:name="_bookmark220"/>
      <w:bookmarkEnd w:id="408"/>
      <w:bookmarkStart w:id="409" w:name="18.2 竣工验收申请报告"/>
      <w:bookmarkEnd w:id="409"/>
      <w:r>
        <w:rPr>
          <w:rFonts w:hint="eastAsia" w:asciiTheme="minorEastAsia" w:hAnsiTheme="minorEastAsia" w:eastAsiaTheme="minorEastAsia" w:cstheme="minorEastAsia"/>
          <w:color w:val="auto"/>
          <w:spacing w:val="0"/>
          <w:w w:val="100"/>
          <w:sz w:val="21"/>
          <w:szCs w:val="21"/>
          <w:highlight w:val="none"/>
        </w:rPr>
        <w:t>18.2 竣工验收申请报告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当工程具备以下条件时，承包人即可向监理人报送竣工验收申请报告：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（1）除监理人同意列入缺陷责任期内完成的尾工（甩项）工程和缺陷修补工作外，合同范围内的全部单位工程以及有关工作，包括合同要求的试验、试运行以及检验和验收均已完成，并符合合同要求；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（2）已按合同约定的内容和份数备齐了符合要求的竣工资料；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（3）已按监理人的要求编制了在缺陷责任期内完成的尾工（甩项）工程和缺陷修补工作清单以及相应施工计划；</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（4）监理人要求在竣工验收前应完成的其他工作；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（5）监理人要求提交的竣工验收资料清单。</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10" w:name="_bookmark221"/>
      <w:bookmarkEnd w:id="410"/>
      <w:bookmarkStart w:id="411" w:name="18.3 验收"/>
      <w:bookmarkEnd w:id="411"/>
      <w:r>
        <w:rPr>
          <w:rFonts w:hint="eastAsia" w:asciiTheme="minorEastAsia" w:hAnsiTheme="minorEastAsia" w:eastAsiaTheme="minorEastAsia" w:cstheme="minorEastAsia"/>
          <w:color w:val="auto"/>
          <w:spacing w:val="0"/>
          <w:w w:val="100"/>
          <w:sz w:val="21"/>
          <w:szCs w:val="21"/>
          <w:highlight w:val="none"/>
        </w:rPr>
        <w:t>18.3 验收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监理人收到承包人按第18.2款约定提交的竣工验收申请报告后，应审查申请报告的各项内容，并按以下不同情况进行处理。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18.3.2 监理人审查后认为已具备竣工验收条件的，应在收到竣工验收申请报告后的28天内提请发包人进行工程验收。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18.3.3 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18.3.5 除专用合同条款另有约定外，经验收合格工程的实际竣工日期，以提交竣工验收申请报告的日期为准，并在工程接收证书中写明。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18.3.6 发包人在收到承包人竣工验收申请报告 56 天后未进行验收的，视为验收合格，实际竣工日期以提交竣工验收申请报告的日期为准，但发包人由于不可抗力不能进行验收的除外。</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12" w:name="_bookmark222"/>
      <w:bookmarkEnd w:id="412"/>
      <w:bookmarkStart w:id="413" w:name="18.4 单位工程验收"/>
      <w:bookmarkEnd w:id="413"/>
      <w:r>
        <w:rPr>
          <w:rFonts w:hint="eastAsia" w:asciiTheme="minorEastAsia" w:hAnsiTheme="minorEastAsia" w:eastAsiaTheme="minorEastAsia" w:cstheme="minorEastAsia"/>
          <w:color w:val="auto"/>
          <w:spacing w:val="0"/>
          <w:w w:val="100"/>
          <w:sz w:val="21"/>
          <w:szCs w:val="21"/>
          <w:highlight w:val="none"/>
        </w:rPr>
        <w:t>18.4 单位工程验收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18.4.2 发包人在全部工程竣工前，使用已接收的单位工程导致承包人费用增加的，发包人应承担由此增加的费用和（或）工期延误，并支付承包人合理利润。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14" w:name="_bookmark223"/>
      <w:bookmarkEnd w:id="414"/>
      <w:bookmarkStart w:id="415" w:name="18.5 施工期运行"/>
      <w:bookmarkEnd w:id="415"/>
      <w:r>
        <w:rPr>
          <w:rFonts w:hint="eastAsia" w:asciiTheme="minorEastAsia" w:hAnsiTheme="minorEastAsia" w:eastAsiaTheme="minorEastAsia" w:cstheme="minorEastAsia"/>
          <w:color w:val="auto"/>
          <w:spacing w:val="0"/>
          <w:w w:val="100"/>
          <w:sz w:val="21"/>
          <w:szCs w:val="21"/>
          <w:highlight w:val="none"/>
        </w:rPr>
        <w:t>18.5 施工期运行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18.5.2 在施工期运行中发现工程或工程设备损坏或存在缺陷的，由承包人按第19.2款约定进行修复。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16" w:name="_bookmark224"/>
      <w:bookmarkEnd w:id="416"/>
      <w:bookmarkStart w:id="417" w:name="18.6 试运行"/>
      <w:bookmarkEnd w:id="417"/>
      <w:r>
        <w:rPr>
          <w:rFonts w:hint="eastAsia" w:asciiTheme="minorEastAsia" w:hAnsiTheme="minorEastAsia" w:eastAsiaTheme="minorEastAsia" w:cstheme="minorEastAsia"/>
          <w:color w:val="auto"/>
          <w:spacing w:val="0"/>
          <w:w w:val="100"/>
          <w:sz w:val="21"/>
          <w:szCs w:val="21"/>
          <w:highlight w:val="none"/>
        </w:rPr>
        <w:t>18.6 试运行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18.6.1 除专用合同条款另有约定外，承包人应按专用合同条款约定进行工程及工程设备试运行，负责提供试运行所需的人员、器材和必要的条件，并承担全部试运行费用。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18" w:name="_bookmark225"/>
      <w:bookmarkEnd w:id="418"/>
      <w:bookmarkStart w:id="419" w:name="18.7 竣工清场"/>
      <w:bookmarkEnd w:id="419"/>
      <w:r>
        <w:rPr>
          <w:rFonts w:hint="eastAsia" w:asciiTheme="minorEastAsia" w:hAnsiTheme="minorEastAsia" w:eastAsiaTheme="minorEastAsia" w:cstheme="minorEastAsia"/>
          <w:color w:val="auto"/>
          <w:spacing w:val="0"/>
          <w:w w:val="100"/>
          <w:sz w:val="21"/>
          <w:szCs w:val="21"/>
          <w:highlight w:val="none"/>
        </w:rPr>
        <w:t>18.7 竣工清场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18.7.1 除合同另有约定外，工程接收证书颁发后，承包人应按以下要求对施工场地进行清理，直至监理人检验合格为止。竣工清场费用由承包人承担。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（1）施工场地内残留的垃圾已全部清除出场；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（2）临时工程已拆除，场地已按合同要求进行清理、平整或复原；</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（3）按合同约定应撤离的承包人设备和剩余的材料，包括废弃的施工设备和材料，已按计划撤离施工场地；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（4）工程建筑物周边及其附近道路、河道的施工堆积物，已按监理人指示全部清理；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（5）监理人指示的其他场地清理工作已全部完成。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18.7.2 承包人未按监理人的要求恢复临时占地，或者场地清理未达到合同约定的，发包人有权委托其他人恢复或清理，所发生的金额从拟支付给承包人的款项中扣除。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20" w:name="_bookmark226"/>
      <w:bookmarkEnd w:id="420"/>
      <w:bookmarkStart w:id="421" w:name="18.8 施工队伍的撤离"/>
      <w:bookmarkEnd w:id="421"/>
      <w:r>
        <w:rPr>
          <w:rFonts w:hint="eastAsia" w:asciiTheme="minorEastAsia" w:hAnsiTheme="minorEastAsia" w:eastAsiaTheme="minorEastAsia" w:cstheme="minorEastAsia"/>
          <w:color w:val="auto"/>
          <w:spacing w:val="0"/>
          <w:w w:val="100"/>
          <w:sz w:val="21"/>
          <w:szCs w:val="21"/>
          <w:highlight w:val="none"/>
        </w:rPr>
        <w:t>18.8 施工队伍的撤离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422" w:name="19. 缺陷责任与保修责任"/>
      <w:bookmarkEnd w:id="422"/>
      <w:bookmarkStart w:id="423" w:name="_bookmark227"/>
      <w:bookmarkEnd w:id="423"/>
      <w:r>
        <w:rPr>
          <w:rFonts w:hint="eastAsia" w:asciiTheme="minorEastAsia" w:hAnsiTheme="minorEastAsia" w:eastAsiaTheme="minorEastAsia" w:cstheme="minorEastAsia"/>
          <w:b/>
          <w:bCs/>
          <w:color w:val="auto"/>
          <w:spacing w:val="0"/>
          <w:w w:val="100"/>
          <w:sz w:val="21"/>
          <w:szCs w:val="21"/>
          <w:highlight w:val="none"/>
        </w:rPr>
        <w:t>19.缺陷责任与保修责任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24" w:name="19.1 缺陷责任期的起算时间"/>
      <w:bookmarkEnd w:id="424"/>
      <w:bookmarkStart w:id="425" w:name="_bookmark228"/>
      <w:bookmarkEnd w:id="425"/>
      <w:r>
        <w:rPr>
          <w:rFonts w:hint="eastAsia" w:asciiTheme="minorEastAsia" w:hAnsiTheme="minorEastAsia" w:eastAsiaTheme="minorEastAsia" w:cstheme="minorEastAsia"/>
          <w:color w:val="auto"/>
          <w:spacing w:val="0"/>
          <w:w w:val="100"/>
          <w:sz w:val="21"/>
          <w:szCs w:val="21"/>
          <w:highlight w:val="none"/>
        </w:rPr>
        <w:t>19.1 缺陷责任期的起算时间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缺陷责任期自实际竣工日期起计算。在全部工程竣工验收前，已经发包人提前验收的单位工程，其缺陷责任期的起算日期相应提前。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26" w:name="19.2 缺陷责任"/>
      <w:bookmarkEnd w:id="426"/>
      <w:bookmarkStart w:id="427" w:name="_bookmark229"/>
      <w:bookmarkEnd w:id="427"/>
      <w:r>
        <w:rPr>
          <w:rFonts w:hint="eastAsia" w:asciiTheme="minorEastAsia" w:hAnsiTheme="minorEastAsia" w:eastAsiaTheme="minorEastAsia" w:cstheme="minorEastAsia"/>
          <w:color w:val="auto"/>
          <w:spacing w:val="0"/>
          <w:w w:val="100"/>
          <w:sz w:val="21"/>
          <w:szCs w:val="21"/>
          <w:highlight w:val="none"/>
        </w:rPr>
        <w:t>19.2 缺陷责任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19.2.1 承包人应在缺陷责任期内对已交付使用的工程承担缺陷责任。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19.2.4 承包人不能在合理时间内修复缺陷的，发包人可自行修复或委托其他人修复，所需费用和利润的承担，按第19.2.3项约定办理。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28" w:name="19.3 缺陷责任期的延长"/>
      <w:bookmarkEnd w:id="428"/>
      <w:bookmarkStart w:id="429" w:name="_bookmark230"/>
      <w:bookmarkEnd w:id="429"/>
      <w:r>
        <w:rPr>
          <w:rFonts w:hint="eastAsia" w:asciiTheme="minorEastAsia" w:hAnsiTheme="minorEastAsia" w:eastAsiaTheme="minorEastAsia" w:cstheme="minorEastAsia"/>
          <w:color w:val="auto"/>
          <w:spacing w:val="0"/>
          <w:w w:val="100"/>
          <w:sz w:val="21"/>
          <w:szCs w:val="21"/>
          <w:highlight w:val="none"/>
        </w:rPr>
        <w:t>19.3 缺陷责任期的延长</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由于承包人原因造成某项缺陷或损坏使某项工程或工程设备不能按原定目标使用而需要再次检查、检验和修复的，发包人有权要求承包人相应延长缺陷责任期，但缺陷责任期最长不超过2年。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30" w:name="19.4 进一步试验和试运行"/>
      <w:bookmarkEnd w:id="430"/>
      <w:bookmarkStart w:id="431" w:name="_bookmark231"/>
      <w:bookmarkEnd w:id="431"/>
      <w:r>
        <w:rPr>
          <w:rFonts w:hint="eastAsia" w:asciiTheme="minorEastAsia" w:hAnsiTheme="minorEastAsia" w:eastAsiaTheme="minorEastAsia" w:cstheme="minorEastAsia"/>
          <w:color w:val="auto"/>
          <w:spacing w:val="0"/>
          <w:w w:val="100"/>
          <w:sz w:val="21"/>
          <w:szCs w:val="21"/>
          <w:highlight w:val="none"/>
        </w:rPr>
        <w:t>19.4 进一步试验和试运行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任何一项缺陷或损坏修复后，经检查证明其影响了工程或工程设备的使用性能，承包人应重新进行合同约定的试验和试运行，试验和试运行的全部费用应由责任方承担。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32" w:name="_bookmark232"/>
      <w:bookmarkEnd w:id="432"/>
      <w:bookmarkStart w:id="433" w:name="19.5 承包人的进入权"/>
      <w:bookmarkEnd w:id="433"/>
      <w:r>
        <w:rPr>
          <w:rFonts w:hint="eastAsia" w:asciiTheme="minorEastAsia" w:hAnsiTheme="minorEastAsia" w:eastAsiaTheme="minorEastAsia" w:cstheme="minorEastAsia"/>
          <w:color w:val="auto"/>
          <w:spacing w:val="0"/>
          <w:w w:val="100"/>
          <w:sz w:val="21"/>
          <w:szCs w:val="21"/>
          <w:highlight w:val="none"/>
        </w:rPr>
        <w:t>19.5 承包人的进入权</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缺陷责任期内承包人为缺陷修复工作需要，有权进入工程现场，但应遵守发包人的保安和保密规定。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34" w:name="19.6 缺陷责任期终止证书"/>
      <w:bookmarkEnd w:id="434"/>
      <w:bookmarkStart w:id="435" w:name="_bookmark233"/>
      <w:bookmarkEnd w:id="435"/>
      <w:r>
        <w:rPr>
          <w:rFonts w:hint="eastAsia" w:asciiTheme="minorEastAsia" w:hAnsiTheme="minorEastAsia" w:eastAsiaTheme="minorEastAsia" w:cstheme="minorEastAsia"/>
          <w:color w:val="auto"/>
          <w:spacing w:val="0"/>
          <w:w w:val="100"/>
          <w:sz w:val="21"/>
          <w:szCs w:val="21"/>
          <w:highlight w:val="none"/>
        </w:rPr>
        <w:t>19.6 缺陷责任期终止证书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在第1.1.4.5目约定的缺陷责任期，包括根据第19.3款延长的期限终止后14天内，由监理人向承包人出具经发包人签认的缺陷责任期终止证书，并退还剩余的质量保证金。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36" w:name="_bookmark234"/>
      <w:bookmarkEnd w:id="436"/>
      <w:bookmarkStart w:id="437" w:name="19.7 保修责任"/>
      <w:bookmarkEnd w:id="437"/>
      <w:r>
        <w:rPr>
          <w:rFonts w:hint="eastAsia" w:asciiTheme="minorEastAsia" w:hAnsiTheme="minorEastAsia" w:eastAsiaTheme="minorEastAsia" w:cstheme="minorEastAsia"/>
          <w:color w:val="auto"/>
          <w:spacing w:val="0"/>
          <w:w w:val="100"/>
          <w:sz w:val="21"/>
          <w:szCs w:val="21"/>
          <w:highlight w:val="none"/>
        </w:rPr>
        <w:t>19.7 保修责任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438" w:name="_bookmark235"/>
      <w:bookmarkEnd w:id="438"/>
      <w:bookmarkStart w:id="439" w:name="20. 保险"/>
      <w:bookmarkEnd w:id="439"/>
      <w:r>
        <w:rPr>
          <w:rFonts w:hint="eastAsia" w:asciiTheme="minorEastAsia" w:hAnsiTheme="minorEastAsia" w:eastAsiaTheme="minorEastAsia" w:cstheme="minorEastAsia"/>
          <w:b/>
          <w:bCs/>
          <w:color w:val="auto"/>
          <w:spacing w:val="0"/>
          <w:w w:val="100"/>
          <w:sz w:val="21"/>
          <w:szCs w:val="21"/>
          <w:highlight w:val="none"/>
        </w:rPr>
        <w:t>20.保险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40" w:name="_bookmark236"/>
      <w:bookmarkEnd w:id="440"/>
      <w:bookmarkStart w:id="441" w:name="20.1 工程保险"/>
      <w:bookmarkEnd w:id="441"/>
      <w:r>
        <w:rPr>
          <w:rFonts w:hint="eastAsia" w:asciiTheme="minorEastAsia" w:hAnsiTheme="minorEastAsia" w:eastAsiaTheme="minorEastAsia" w:cstheme="minorEastAsia"/>
          <w:color w:val="auto"/>
          <w:spacing w:val="0"/>
          <w:w w:val="100"/>
          <w:sz w:val="21"/>
          <w:szCs w:val="21"/>
          <w:highlight w:val="none"/>
        </w:rPr>
        <w:t>20.1 工程保险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42" w:name="20.2 人员工伤事故的保险"/>
      <w:bookmarkEnd w:id="442"/>
      <w:bookmarkStart w:id="443" w:name="_bookmark237"/>
      <w:bookmarkEnd w:id="443"/>
      <w:r>
        <w:rPr>
          <w:rFonts w:hint="eastAsia" w:asciiTheme="minorEastAsia" w:hAnsiTheme="minorEastAsia" w:eastAsiaTheme="minorEastAsia" w:cstheme="minorEastAsia"/>
          <w:color w:val="auto"/>
          <w:spacing w:val="0"/>
          <w:w w:val="100"/>
          <w:sz w:val="21"/>
          <w:szCs w:val="21"/>
          <w:highlight w:val="none"/>
        </w:rPr>
        <w:t>20.2 人员工伤事故的保险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20.2.1 承包人员工伤事故的保险 承包人应依照有关法律规定参加工伤保险，为其履行合同所雇佣的全部人员，缴纳工伤保险费，并要求其分包人也进行此项保险。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20.2.2 发包人员工伤事故的保险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发包人应依照有关法律规定参加工伤保险，为其现场机构雇佣的全部人员，缴纳工伤保险费，并要求其监理人也进行此项保险。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44" w:name="_bookmark238"/>
      <w:bookmarkEnd w:id="444"/>
      <w:bookmarkStart w:id="445" w:name="20.3 人身意外伤害险"/>
      <w:bookmarkEnd w:id="445"/>
      <w:r>
        <w:rPr>
          <w:rFonts w:hint="eastAsia" w:asciiTheme="minorEastAsia" w:hAnsiTheme="minorEastAsia" w:eastAsiaTheme="minorEastAsia" w:cstheme="minorEastAsia"/>
          <w:color w:val="auto"/>
          <w:spacing w:val="0"/>
          <w:w w:val="100"/>
          <w:sz w:val="21"/>
          <w:szCs w:val="21"/>
          <w:highlight w:val="none"/>
        </w:rPr>
        <w:t>20.3 人身意外伤害险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20.3.1 发包人应在整个施工期间为其现场机构雇用的全部人员，投保人身意外伤害险，缴纳保险费，并要求其监理人也进行此项保险。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20.3.2 承包人应在整个施工期间为其现场机构雇用的全部人员，投保人身意外伤害险，缴纳保险费，并要求其分包人也进行此项保险。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46" w:name="20.4 第三者责任险"/>
      <w:bookmarkEnd w:id="446"/>
      <w:bookmarkStart w:id="447" w:name="_bookmark239"/>
      <w:bookmarkEnd w:id="447"/>
      <w:r>
        <w:rPr>
          <w:rFonts w:hint="eastAsia" w:asciiTheme="minorEastAsia" w:hAnsiTheme="minorEastAsia" w:eastAsiaTheme="minorEastAsia" w:cstheme="minorEastAsia"/>
          <w:color w:val="auto"/>
          <w:spacing w:val="0"/>
          <w:w w:val="100"/>
          <w:sz w:val="21"/>
          <w:szCs w:val="21"/>
          <w:highlight w:val="none"/>
        </w:rPr>
        <w:t>20.4 第三者责任险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20.4.2 在缺陷责任期终止证书颁发前，承包人应以承包人和发包人的共同名义，投保第20.4.1 项约定的第三者责任险，其保险费率、保险金额等有关内容在专用合同条款中约定。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48" w:name="_bookmark240"/>
      <w:bookmarkEnd w:id="448"/>
      <w:bookmarkStart w:id="449" w:name="20.5 其他保险"/>
      <w:bookmarkEnd w:id="449"/>
      <w:r>
        <w:rPr>
          <w:rFonts w:hint="eastAsia" w:asciiTheme="minorEastAsia" w:hAnsiTheme="minorEastAsia" w:eastAsiaTheme="minorEastAsia" w:cstheme="minorEastAsia"/>
          <w:color w:val="auto"/>
          <w:spacing w:val="0"/>
          <w:w w:val="100"/>
          <w:sz w:val="21"/>
          <w:szCs w:val="21"/>
          <w:highlight w:val="none"/>
        </w:rPr>
        <w:t>20.5 其他保险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除专用合同条款另有约定外，承包人应为其施工设备、进场的材料和工程设备等办理保险。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50" w:name="_bookmark241"/>
      <w:bookmarkEnd w:id="450"/>
      <w:bookmarkStart w:id="451" w:name="20.6 对各项保险的一般要求"/>
      <w:bookmarkEnd w:id="451"/>
      <w:r>
        <w:rPr>
          <w:rFonts w:hint="eastAsia" w:asciiTheme="minorEastAsia" w:hAnsiTheme="minorEastAsia" w:eastAsiaTheme="minorEastAsia" w:cstheme="minorEastAsia"/>
          <w:color w:val="auto"/>
          <w:spacing w:val="0"/>
          <w:w w:val="100"/>
          <w:sz w:val="21"/>
          <w:szCs w:val="21"/>
          <w:highlight w:val="none"/>
        </w:rPr>
        <w:t>20.6 对各项保险的一般要求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20.6.1 保险凭证</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承包人应在专用合同条款约定的期限内向发包人提交各项保险生效的证据和保险单副本，保险单必须与专用合同条款约定的条件保持一致。</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20.6.2 保险合同条款的变动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承包人需要变动保险合同条款时，应事先征得发包人同意，并通知监理人。保险人作出变动的，承包人应在收到保险人通知后立即通知发包人和监理人。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20.6.3 持续保险 承包人应与保险人保持联系，使保险人能够随时了解工程实施中的变动，并确保按保险合同条款要求持续保险。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20.6.4 保险金不足的补偿 保险金不足以补偿损失的，应由承包人和（或）发包人按合同约定负责补偿。</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20.6.5 未按约定投保的补救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（1）由于负有投保义务的一方当事人未按合同约定办理保险，或未能使保险持续有效的，另一方当事人可代为办理，所需费用由对方当事人承担。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（2）由于负有投保义务的一方当事人未按合同约定办理某项保险，导致受益人未能得到保险人的赔偿，原应从该项保险得到的保险金应由负有投保义务的一方当事人支付。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20.6.6 报告义务</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当保险事故发生时，投保人应按照保险单规定的条件和期限及时向保险人报告。</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452" w:name="21. 不可抗力"/>
      <w:bookmarkEnd w:id="452"/>
      <w:bookmarkStart w:id="453" w:name="_bookmark242"/>
      <w:bookmarkEnd w:id="453"/>
      <w:r>
        <w:rPr>
          <w:rFonts w:hint="eastAsia" w:asciiTheme="minorEastAsia" w:hAnsiTheme="minorEastAsia" w:eastAsiaTheme="minorEastAsia" w:cstheme="minorEastAsia"/>
          <w:b/>
          <w:bCs/>
          <w:color w:val="auto"/>
          <w:spacing w:val="0"/>
          <w:w w:val="100"/>
          <w:sz w:val="21"/>
          <w:szCs w:val="21"/>
          <w:highlight w:val="none"/>
        </w:rPr>
        <w:t>21.不可抗力</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54" w:name="_bookmark243"/>
      <w:bookmarkEnd w:id="454"/>
      <w:bookmarkStart w:id="455" w:name="21.1 不可抗力的确认"/>
      <w:bookmarkEnd w:id="455"/>
      <w:r>
        <w:rPr>
          <w:rFonts w:hint="eastAsia" w:asciiTheme="minorEastAsia" w:hAnsiTheme="minorEastAsia" w:eastAsiaTheme="minorEastAsia" w:cstheme="minorEastAsia"/>
          <w:color w:val="auto"/>
          <w:spacing w:val="0"/>
          <w:w w:val="100"/>
          <w:sz w:val="21"/>
          <w:szCs w:val="21"/>
          <w:highlight w:val="none"/>
        </w:rPr>
        <w:t>21.1 不可抗力的确认</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21.1.2 不可抗力发生后，发包人和承包人应及时认真统计所造成的损失，收集不可抗力造成损失的证据。合同双方对是否属于不可抗力或其损失的意见不一致的，由监理人按第 3.5 款商定或确定。发生争议时，按第24条的约定办理。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56" w:name="_bookmark244"/>
      <w:bookmarkEnd w:id="456"/>
      <w:bookmarkStart w:id="457" w:name="21.2 不可抗力的通知"/>
      <w:bookmarkEnd w:id="457"/>
      <w:r>
        <w:rPr>
          <w:rFonts w:hint="eastAsia" w:asciiTheme="minorEastAsia" w:hAnsiTheme="minorEastAsia" w:eastAsiaTheme="minorEastAsia" w:cstheme="minorEastAsia"/>
          <w:color w:val="auto"/>
          <w:spacing w:val="0"/>
          <w:w w:val="100"/>
          <w:sz w:val="21"/>
          <w:szCs w:val="21"/>
          <w:highlight w:val="none"/>
        </w:rPr>
        <w:t>21.2 不可抗力的通知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21.2.1 合同一方当事人遇到不可抗力事件，使其履行合同义务受到阻碍时，应立即通知合同另一方当事人和监理人，书面说明不可抗力和受阻碍的详细情况，并提供必要的证明。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21.2.2 如不可抗力持续发生，合同一方当事人应及时向合同另一方当事人和监理人提交中间报告，说明不可抗力和履行合同受阻的情况，并于不可抗力事件结束后 28 天内提交最终报告及有关资料。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58" w:name="21.3 不可抗力后果及其处理"/>
      <w:bookmarkEnd w:id="458"/>
      <w:bookmarkStart w:id="459" w:name="_bookmark245"/>
      <w:bookmarkEnd w:id="459"/>
      <w:r>
        <w:rPr>
          <w:rFonts w:hint="eastAsia" w:asciiTheme="minorEastAsia" w:hAnsiTheme="minorEastAsia" w:eastAsiaTheme="minorEastAsia" w:cstheme="minorEastAsia"/>
          <w:color w:val="auto"/>
          <w:spacing w:val="0"/>
          <w:w w:val="100"/>
          <w:sz w:val="21"/>
          <w:szCs w:val="21"/>
          <w:highlight w:val="none"/>
        </w:rPr>
        <w:t>21.3 不可抗力后果及其处理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21.3.1 不可抗力造成损害的责任 除专用合同条款另有约定外，不可抗力导致的人员伤亡、财产损失、费用增加和（或）工期延误等后果，由合同双方按以下原则承担：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（1）永久工程，包括已运至施工场地的材料和工程设备的损害，以及因工程损害造成的第三者人员伤亡和财产损失由发包人承担；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（2）承包人设备的损坏由承包人承担；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（3）发包人和承包人各自承担其人员伤亡和其他财产损失及其相关费用；</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（4）承包人的停工损失由承包人承担，但停工期间应监理人要求照管工程和清理、修复工程的金额由发包人承担；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（5）不能按期竣工的，应合理延长工期，承包人不需支付逾期竣工违约金。发包人要求赶工的，承包人应采取赶工措施，赶工费用由发包人承担。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21.3.2 延迟履行期间发生的不可抗力 合同一方当事人延迟履行，在延迟履行期间发生不可抗力的，不免除其责任。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21.3.3 避免和减少不可抗力损失</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不可抗力发生后，发包人和承包人均应采取措施尽量避免和减少损失的扩大，任何一方没有 采取有效措施导致损失扩大的，应对扩大的损失承担责任。</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21.3.4 因不可抗力解除合同 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460" w:name="_bookmark246"/>
      <w:bookmarkEnd w:id="460"/>
      <w:bookmarkStart w:id="461" w:name="22. 违约"/>
      <w:bookmarkEnd w:id="461"/>
      <w:r>
        <w:rPr>
          <w:rFonts w:hint="eastAsia" w:asciiTheme="minorEastAsia" w:hAnsiTheme="minorEastAsia" w:eastAsiaTheme="minorEastAsia" w:cstheme="minorEastAsia"/>
          <w:b/>
          <w:bCs/>
          <w:color w:val="auto"/>
          <w:spacing w:val="0"/>
          <w:w w:val="100"/>
          <w:sz w:val="21"/>
          <w:szCs w:val="21"/>
          <w:highlight w:val="none"/>
        </w:rPr>
        <w:t>22.违约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62" w:name="_bookmark247"/>
      <w:bookmarkEnd w:id="462"/>
      <w:bookmarkStart w:id="463" w:name="22.1 承包人违约"/>
      <w:bookmarkEnd w:id="463"/>
      <w:r>
        <w:rPr>
          <w:rFonts w:hint="eastAsia" w:asciiTheme="minorEastAsia" w:hAnsiTheme="minorEastAsia" w:eastAsiaTheme="minorEastAsia" w:cstheme="minorEastAsia"/>
          <w:color w:val="auto"/>
          <w:spacing w:val="0"/>
          <w:w w:val="100"/>
          <w:sz w:val="21"/>
          <w:szCs w:val="21"/>
          <w:highlight w:val="none"/>
        </w:rPr>
        <w:t>22.1 承包人违约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22.1.1 承包人违约的情形 在履行合同过程中发生的下列情况属承包人违约：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（1）承包人违反第1.8款或第4.3款的约定，私自将合同的全部或部分权利转让给其他人， 或私自将合同的全部或部分义务转移给其他人；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（2）承包人违反第5.3款或第6.4款的约定，未经监理人批准，私自将已按合同约定进入施工场地的施工设备、临时设施或材料撤离施工场地；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（3）承包人违反第5.4款的约定使用了不合格材料或工程设备，工程质量达不到标准要求，又拒绝清除不合格工程；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（4）承包人未能按合同进度计划及时完成合同约定的工作，已造成或预期造成工期延误；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（5）承包人在缺陷责任期内，未能对工程接收证书所列的缺陷清单的内容或缺陷责任期内发生的缺陷进行修复，而又拒绝按监理人指示再进行修补；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（6）承包人无法继续履行或明确表示不履行或实质上已停止履行合同；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（7）承包人不按合同约定履行义务的其他情况。</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22.1.2对承包人违约的处理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（1）承包人发生第22.1.1（6）目约定的违约情况时，发包人可通知承包人立即解除合同，并按有关法律处理。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（2）承包人发生除第22.1.1（6）目约定以外的其他违约情况时，监理人可向承包人发出整改通知，要求其在指定的期限内改正。承包人应承担其违约所引起的费用增加和（或）工期延误。</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（3）经检查证明承包人已采取了有效措施纠正违约行为，具备复工条件的，可由监理人签发复工通知复工。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22.1.3 承包人违约解除合同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22.1.4 合同解除后的估价、付款和结清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（1）合同解除后，监理人按第3.5款商定或确定承包人实际完成工作的价值，以及承包人已提供的材料、施工设备、工程设备和临时工程等的价值。</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（2）合同解除后，发包人应暂停对承包人的一切付款，查清各项付款和已扣款金额，包括承包人应支付的违约金。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（3）合同解除后，发包人应按第23.4款的约定向承包人索赔由于解除合同给发包人造成的损失。</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（4）合同双方确认上述往来款项后，出具最终结清付款证书，结清全部合同款项。</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（5）发包人和承包人未能就解除合同后的结清达成一致而形成争议的，按第24条的约定办理。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22.1.5 协议利益的转让</w:t>
      </w:r>
      <w:r>
        <w:rPr>
          <w:rFonts w:hint="eastAsia" w:asciiTheme="minorEastAsia" w:hAnsiTheme="minorEastAsia" w:eastAsiaTheme="minorEastAsia" w:cstheme="minorEastAsia"/>
          <w:color w:val="auto"/>
          <w:spacing w:val="0"/>
          <w:w w:val="100"/>
          <w:sz w:val="21"/>
          <w:szCs w:val="21"/>
          <w:highlight w:val="none"/>
          <w:lang w:eastAsia="zh-CN"/>
        </w:rPr>
        <w:t>：</w:t>
      </w:r>
      <w:r>
        <w:rPr>
          <w:rFonts w:hint="eastAsia" w:asciiTheme="minorEastAsia" w:hAnsiTheme="minorEastAsia" w:eastAsiaTheme="minorEastAsia" w:cstheme="minorEastAsia"/>
          <w:color w:val="auto"/>
          <w:spacing w:val="0"/>
          <w:w w:val="100"/>
          <w:sz w:val="21"/>
          <w:szCs w:val="21"/>
          <w:highlight w:val="none"/>
        </w:rPr>
        <w:t>因承包人违约解除合同的，发包人有权要求承包人将其为实施合同而签订的材料和设备的订货协议或任何服务协议利益转让给发包人，并在解除合同后的14天内，依法办理转让手续。</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22.1.6 紧急情况下无能力或不愿进行抢救</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64" w:name="_bookmark248"/>
      <w:bookmarkEnd w:id="464"/>
      <w:bookmarkStart w:id="465" w:name="22.2 发包人违约"/>
      <w:bookmarkEnd w:id="465"/>
      <w:r>
        <w:rPr>
          <w:rFonts w:hint="eastAsia" w:asciiTheme="minorEastAsia" w:hAnsiTheme="minorEastAsia" w:eastAsiaTheme="minorEastAsia" w:cstheme="minorEastAsia"/>
          <w:color w:val="auto"/>
          <w:spacing w:val="0"/>
          <w:w w:val="100"/>
          <w:sz w:val="21"/>
          <w:szCs w:val="21"/>
          <w:highlight w:val="none"/>
        </w:rPr>
        <w:t>22.2 发包人违约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22.2.1 发包人违约的情形 在履行合同过程中发生的下列情形，属发包人违约：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（1）发包人未能按合同约定支付预付款或合同价款，或拖延、拒绝批准付款申请和支付凭证，导致付款延误的；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（2）发包人原因造成停工的；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（3）监理人无正当理由没有在约定期限内发出复工指示，导致承包人无法复工的；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（4）发包人无法继续履行或明确表示不履行或实质上已停止履行合同的；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（5）发包人不履行合同约定其他义务的。</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22.2.2 承包人有权暂停施工</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22.2.3 发包人违约解除合同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（1）发生第22.2.1（4）目的违约情况时，承包人可书面通知发包人解除合同。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22.2.4 解除合同后的付款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因发包人违约解除合同的，发包人应在解除合同后 28 天内向承包人支付下列金额，承包人应在此期限内及时向发包人提交要求支付下列金额的有关资料和凭证：</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（1）合同解除日以前所完成工作的价款；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（2）承包人为该工程施工订购并已付款的材料、工程设备和其他物品的金额。发包人付还后，该材料、工程设备和其他物品归发包人所有；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（3）承包人为完成工程所发生的，而发包人未支付的金额；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（4）承包人撤离施工场地以及遣散承包人人员的金额；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（5）由于解除合同应赔偿的承包人损失；</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（6）按合同约定在合同解除日前应支付给承包人的其他金额。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发包人应按本项约定支付上述金额并退还质量保证金和履约担保，但有权要求承包人支付应偿还给发包人的各项金额。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22.2.5 解除合同后的承包人撤离 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66" w:name="22.3 第三人造成的违约"/>
      <w:bookmarkEnd w:id="466"/>
      <w:bookmarkStart w:id="467" w:name="_bookmark249"/>
      <w:bookmarkEnd w:id="467"/>
      <w:r>
        <w:rPr>
          <w:rFonts w:hint="eastAsia" w:asciiTheme="minorEastAsia" w:hAnsiTheme="minorEastAsia" w:eastAsiaTheme="minorEastAsia" w:cstheme="minorEastAsia"/>
          <w:color w:val="auto"/>
          <w:spacing w:val="0"/>
          <w:w w:val="100"/>
          <w:sz w:val="21"/>
          <w:szCs w:val="21"/>
          <w:highlight w:val="none"/>
        </w:rPr>
        <w:t>22.3 第三人造成的违约</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在履行合同过程中，一方当事人因第三人的原因造成违约的，应当向对方当事人承担违约责任。一方当事人和第三人之间的纠纷，依照法律规定或者按照约定解决。</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468" w:name="23. 索赔"/>
      <w:bookmarkEnd w:id="468"/>
      <w:bookmarkStart w:id="469" w:name="_bookmark250"/>
      <w:bookmarkEnd w:id="469"/>
      <w:r>
        <w:rPr>
          <w:rFonts w:hint="eastAsia" w:asciiTheme="minorEastAsia" w:hAnsiTheme="minorEastAsia" w:eastAsiaTheme="minorEastAsia" w:cstheme="minorEastAsia"/>
          <w:b/>
          <w:bCs/>
          <w:color w:val="auto"/>
          <w:spacing w:val="0"/>
          <w:w w:val="100"/>
          <w:sz w:val="21"/>
          <w:szCs w:val="21"/>
          <w:highlight w:val="none"/>
        </w:rPr>
        <w:t>23.索赔</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70" w:name="23.1 承包人索赔的提出"/>
      <w:bookmarkEnd w:id="470"/>
      <w:bookmarkStart w:id="471" w:name="_bookmark251"/>
      <w:bookmarkEnd w:id="471"/>
      <w:r>
        <w:rPr>
          <w:rFonts w:hint="eastAsia" w:asciiTheme="minorEastAsia" w:hAnsiTheme="minorEastAsia" w:eastAsiaTheme="minorEastAsia" w:cstheme="minorEastAsia"/>
          <w:color w:val="auto"/>
          <w:spacing w:val="0"/>
          <w:w w:val="100"/>
          <w:sz w:val="21"/>
          <w:szCs w:val="21"/>
          <w:highlight w:val="none"/>
        </w:rPr>
        <w:t>23.1 承包人索赔的提出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根据合同约定，承包人认为有权得到追加付款和（或）延长工期的，应按以下程序向发包人提出索赔：</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（2）承包人应在发出索赔意向通知书后28天内，向监理人正式递交索赔通知书。索赔通知书应详细说明索赔理由以及要求追加的付款金额和（或）延长的工期，并附必要的记录和证明材料；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（3）索赔事件具有连续影响的，承包人应按合理时间间隔继续递交延续索赔通知，说明连续影响的实际情况和记录，列出累计的追加付款金额和（或）工期延长天数；</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（4）在索赔事件影响结束后的28天内，承包人应向监理人递交最终索赔通知书，说明最终要求索赔的追加付款金额和延长的工期，并附必要的记录和证明材料。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72" w:name="23.2 承包人索赔处理程序"/>
      <w:bookmarkEnd w:id="472"/>
      <w:bookmarkStart w:id="473" w:name="_bookmark252"/>
      <w:bookmarkEnd w:id="473"/>
      <w:r>
        <w:rPr>
          <w:rFonts w:hint="eastAsia" w:asciiTheme="minorEastAsia" w:hAnsiTheme="minorEastAsia" w:eastAsiaTheme="minorEastAsia" w:cstheme="minorEastAsia"/>
          <w:color w:val="auto"/>
          <w:spacing w:val="0"/>
          <w:w w:val="100"/>
          <w:sz w:val="21"/>
          <w:szCs w:val="21"/>
          <w:highlight w:val="none"/>
        </w:rPr>
        <w:t>23.2 承包人索赔处理程序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（1）监理人收到承包人提交的索赔通知书后，应及时审查索赔通知书的内容、查验承包人的记录和证明材料，必要时监理人可要求承包人提交全部原始记录副本。</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（2）监理人应按第3.5款商定或确定追加的付款和（或）延长的工期，并在收到上述索赔通知书或有关索赔的进一步证明材料后的 42 天内，将索赔处理结果答复承包人。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（3）承包人接受索赔处理结果的，发包人应在作出索赔处理结果答复后28天内完成赔付。</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承包人不接受索赔处理结果的，按第24条的约定办理。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74" w:name="23.3 承包人提出索赔的期限"/>
      <w:bookmarkEnd w:id="474"/>
      <w:bookmarkStart w:id="475" w:name="_bookmark253"/>
      <w:bookmarkEnd w:id="475"/>
      <w:r>
        <w:rPr>
          <w:rFonts w:hint="eastAsia" w:asciiTheme="minorEastAsia" w:hAnsiTheme="minorEastAsia" w:eastAsiaTheme="minorEastAsia" w:cstheme="minorEastAsia"/>
          <w:color w:val="auto"/>
          <w:spacing w:val="0"/>
          <w:w w:val="100"/>
          <w:sz w:val="21"/>
          <w:szCs w:val="21"/>
          <w:highlight w:val="none"/>
        </w:rPr>
        <w:t>23.3 承包人提出索赔的期限</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23.3.1 承包人按第17.5款的约定接受了竣工付款证书后，应被认为已无权再提出在合同工程接收证书颁发前所发生的任何索赔。</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23.3.2 承包人按第17.6款的约定提交的最终结清申请单中，只限于提出工程接收证书颁发后发生的索赔。提出索赔的期限自接受最终结清证书时终止。</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76" w:name="23.4 发包人的索赔"/>
      <w:bookmarkEnd w:id="476"/>
      <w:bookmarkStart w:id="477" w:name="_bookmark254"/>
      <w:bookmarkEnd w:id="477"/>
      <w:r>
        <w:rPr>
          <w:rFonts w:hint="eastAsia" w:asciiTheme="minorEastAsia" w:hAnsiTheme="minorEastAsia" w:eastAsiaTheme="minorEastAsia" w:cstheme="minorEastAsia"/>
          <w:color w:val="auto"/>
          <w:spacing w:val="0"/>
          <w:w w:val="100"/>
          <w:sz w:val="21"/>
          <w:szCs w:val="21"/>
          <w:highlight w:val="none"/>
        </w:rPr>
        <w:t>23.4 发包人的索赔</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b/>
          <w:bCs/>
          <w:color w:val="auto"/>
          <w:spacing w:val="0"/>
          <w:w w:val="100"/>
          <w:sz w:val="21"/>
          <w:szCs w:val="21"/>
          <w:highlight w:val="none"/>
        </w:rPr>
      </w:pPr>
      <w:bookmarkStart w:id="478" w:name="24. 争议的解决"/>
      <w:bookmarkEnd w:id="478"/>
      <w:bookmarkStart w:id="479" w:name="_bookmark255"/>
      <w:bookmarkEnd w:id="479"/>
      <w:r>
        <w:rPr>
          <w:rFonts w:hint="eastAsia" w:asciiTheme="minorEastAsia" w:hAnsiTheme="minorEastAsia" w:eastAsiaTheme="minorEastAsia" w:cstheme="minorEastAsia"/>
          <w:b/>
          <w:bCs/>
          <w:color w:val="auto"/>
          <w:spacing w:val="0"/>
          <w:w w:val="100"/>
          <w:sz w:val="21"/>
          <w:szCs w:val="21"/>
          <w:highlight w:val="none"/>
        </w:rPr>
        <w:t>24.争议的解决</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80" w:name="24.1 争议的解决方式"/>
      <w:bookmarkEnd w:id="480"/>
      <w:bookmarkStart w:id="481" w:name="_bookmark256"/>
      <w:bookmarkEnd w:id="481"/>
      <w:r>
        <w:rPr>
          <w:rFonts w:hint="eastAsia" w:asciiTheme="minorEastAsia" w:hAnsiTheme="minorEastAsia" w:eastAsiaTheme="minorEastAsia" w:cstheme="minorEastAsia"/>
          <w:color w:val="auto"/>
          <w:spacing w:val="0"/>
          <w:w w:val="100"/>
          <w:sz w:val="21"/>
          <w:szCs w:val="21"/>
          <w:highlight w:val="none"/>
        </w:rPr>
        <w:t>24.1 争议的解决方式</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（1）向约定的仲裁委员会申请仲裁；</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（2）向有管辖权的人民法院提起诉讼。</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82" w:name="_bookmark257"/>
      <w:bookmarkEnd w:id="482"/>
      <w:bookmarkStart w:id="483" w:name="24.2 友好解决"/>
      <w:bookmarkEnd w:id="483"/>
      <w:r>
        <w:rPr>
          <w:rFonts w:hint="eastAsia" w:asciiTheme="minorEastAsia" w:hAnsiTheme="minorEastAsia" w:eastAsiaTheme="minorEastAsia" w:cstheme="minorEastAsia"/>
          <w:color w:val="auto"/>
          <w:spacing w:val="0"/>
          <w:w w:val="100"/>
          <w:sz w:val="21"/>
          <w:szCs w:val="21"/>
          <w:highlight w:val="none"/>
        </w:rPr>
        <w:t>24.2 友好解决</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在提请争议评审、仲裁或者诉讼前，以及在争议评审、仲裁或诉讼过程中，发包人和承包人均可共同努力友好协商解决争议。</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bookmarkStart w:id="484" w:name="_bookmark258"/>
      <w:bookmarkEnd w:id="484"/>
      <w:bookmarkStart w:id="485" w:name="24.3 争议评审"/>
      <w:bookmarkEnd w:id="485"/>
      <w:r>
        <w:rPr>
          <w:rFonts w:hint="eastAsia" w:asciiTheme="minorEastAsia" w:hAnsiTheme="minorEastAsia" w:eastAsiaTheme="minorEastAsia" w:cstheme="minorEastAsia"/>
          <w:color w:val="auto"/>
          <w:spacing w:val="0"/>
          <w:w w:val="100"/>
          <w:sz w:val="21"/>
          <w:szCs w:val="21"/>
          <w:highlight w:val="none"/>
        </w:rPr>
        <w:t>24.3 争议评审</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24.3.1 采用争议评审的，发包人和承包人应在开工日后的28天内或在争议发生后，协商成立争议评审组。争议评审组由有合同管理和工程实践经验的专家组成。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24.3.2 合同双方的争议，应首先由申请人向争议评审组提交一份详细的评审申请报告，并附必要的文件、图纸和证明材料，申请人还应将上述报告的副本同时提交给被申请人和监理人。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24.3.3 被申请人在收到申请人评审申请报告副本后的28天内，向争议评审组提交一份答辩报告，并附证明材料。被申请人应将答辩报告的副本同时提交给申请人和监理人。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24.3.4 除专用合同条款另有约定外，争议评审组在收到合同双方报告后的14天内，邀请双方代表和有关人员举行调查会，向双方调查争议细节；必要时争议评审组可要求双方进一步提供补充材料。</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24.3.6 发包人和承包人接受评审意见的，由监理人根据评审意见拟定执行协议，经争议双方签字后作为合同的补充文件，并遵照执行。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hint="eastAsia" w:asciiTheme="minorEastAsia" w:hAnsiTheme="minorEastAsia" w:eastAsiaTheme="minorEastAsia" w:cstheme="minorEastAsia"/>
          <w:color w:val="auto"/>
          <w:spacing w:val="0"/>
          <w:w w:val="100"/>
          <w:sz w:val="21"/>
          <w:szCs w:val="21"/>
          <w:highlight w:val="none"/>
        </w:rPr>
      </w:pPr>
      <w:r>
        <w:rPr>
          <w:rFonts w:hint="eastAsia" w:asciiTheme="minorEastAsia" w:hAnsiTheme="minorEastAsia" w:eastAsiaTheme="minorEastAsia" w:cstheme="minorEastAsia"/>
          <w:color w:val="auto"/>
          <w:spacing w:val="0"/>
          <w:w w:val="100"/>
          <w:sz w:val="21"/>
          <w:szCs w:val="21"/>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both"/>
        <w:textAlignment w:val="auto"/>
        <w:rPr>
          <w:rFonts w:hint="eastAsia" w:asciiTheme="minorEastAsia" w:hAnsiTheme="minorEastAsia" w:eastAsiaTheme="minorEastAsia" w:cstheme="minorEastAsia"/>
          <w:color w:val="auto"/>
          <w:spacing w:val="0"/>
          <w:w w:val="100"/>
          <w:sz w:val="21"/>
          <w:szCs w:val="21"/>
          <w:highlight w:val="none"/>
        </w:rPr>
        <w:sectPr>
          <w:footerReference r:id="rId9" w:type="default"/>
          <w:pgSz w:w="11910" w:h="16840"/>
          <w:pgMar w:top="1580" w:right="1420" w:bottom="1360" w:left="1480" w:header="0" w:footer="1177" w:gutter="0"/>
          <w:pgNumType w:fmt="decimal"/>
          <w:cols w:space="720" w:num="1"/>
        </w:sectPr>
      </w:pPr>
    </w:p>
    <w:p>
      <w:pPr>
        <w:keepNext/>
        <w:keepLines/>
        <w:widowControl w:val="0"/>
        <w:spacing w:line="360" w:lineRule="auto"/>
        <w:jc w:val="center"/>
        <w:outlineLvl w:val="2"/>
        <w:rPr>
          <w:rFonts w:ascii="宋体" w:hAnsi="宋体" w:eastAsia="宋体" w:cs="Times New Roman"/>
          <w:b/>
          <w:color w:val="auto"/>
          <w:kern w:val="2"/>
          <w:sz w:val="24"/>
          <w:highlight w:val="none"/>
          <w:lang w:val="en-US" w:eastAsia="zh-CN" w:bidi="ar-SA"/>
        </w:rPr>
      </w:pPr>
      <w:r>
        <w:rPr>
          <w:rFonts w:ascii="宋体" w:hAnsi="宋体" w:eastAsia="宋体" w:cs="Times New Roman"/>
          <w:b/>
          <w:color w:val="auto"/>
          <w:kern w:val="2"/>
          <w:sz w:val="24"/>
          <w:highlight w:val="none"/>
          <w:lang w:val="en-US" w:eastAsia="zh-CN" w:bidi="ar-SA"/>
        </w:rPr>
        <w:t>第</w:t>
      </w:r>
      <w:r>
        <w:rPr>
          <w:rFonts w:hint="eastAsia" w:ascii="宋体" w:hAnsi="宋体" w:eastAsia="宋体" w:cs="Times New Roman"/>
          <w:b/>
          <w:color w:val="auto"/>
          <w:kern w:val="2"/>
          <w:sz w:val="24"/>
          <w:highlight w:val="none"/>
          <w:lang w:val="en-US" w:eastAsia="zh-CN" w:bidi="ar-SA"/>
        </w:rPr>
        <w:t>三节</w:t>
      </w:r>
      <w:r>
        <w:rPr>
          <w:rFonts w:ascii="宋体" w:hAnsi="宋体" w:eastAsia="宋体" w:cs="Times New Roman"/>
          <w:b/>
          <w:color w:val="auto"/>
          <w:kern w:val="2"/>
          <w:sz w:val="24"/>
          <w:highlight w:val="none"/>
          <w:lang w:val="en-US" w:eastAsia="zh-CN" w:bidi="ar-SA"/>
        </w:rPr>
        <w:t xml:space="preserve"> </w:t>
      </w:r>
      <w:r>
        <w:rPr>
          <w:rFonts w:hint="eastAsia" w:ascii="宋体" w:hAnsi="宋体" w:eastAsia="宋体" w:cs="Times New Roman"/>
          <w:b/>
          <w:color w:val="auto"/>
          <w:kern w:val="2"/>
          <w:sz w:val="24"/>
          <w:highlight w:val="none"/>
          <w:lang w:val="en-US" w:eastAsia="zh-CN" w:bidi="ar-SA"/>
        </w:rPr>
        <w:t xml:space="preserve"> </w:t>
      </w:r>
      <w:r>
        <w:rPr>
          <w:rFonts w:ascii="宋体" w:hAnsi="宋体" w:eastAsia="宋体" w:cs="Times New Roman"/>
          <w:b/>
          <w:color w:val="auto"/>
          <w:kern w:val="2"/>
          <w:sz w:val="24"/>
          <w:highlight w:val="none"/>
          <w:lang w:val="en-US" w:eastAsia="zh-CN" w:bidi="ar-SA"/>
        </w:rPr>
        <w:t>专用合同条款</w:t>
      </w:r>
      <w:bookmarkEnd w:id="216"/>
      <w:bookmarkEnd w:id="217"/>
      <w:bookmarkEnd w:id="218"/>
    </w:p>
    <w:bookmarkEnd w:id="198"/>
    <w:bookmarkEnd w:id="199"/>
    <w:p>
      <w:pPr>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标准施工招标文件》第四章“合同条款及格式”中通用合同条款应全文引用，专用合同条款系对通用合同条款进行补充、细化。除通用合同条款明确专用合同条款可作出不同约定外，专用合同条款补充细化的内容不得与通用合同条款规定相抵触，不得违反法律、法规和行业规章 的有关规定和平等、自愿、公平以及诚实信用原则。</w:t>
      </w:r>
    </w:p>
    <w:p>
      <w:pPr>
        <w:rPr>
          <w:rFonts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1"/>
          <w:szCs w:val="21"/>
          <w:highlight w:val="none"/>
          <w:lang w:eastAsia="zh-CN"/>
        </w:rPr>
        <w:br w:type="page"/>
      </w:r>
    </w:p>
    <w:p>
      <w:pPr>
        <w:keepNext/>
        <w:keepLines/>
        <w:widowControl w:val="0"/>
        <w:spacing w:line="360" w:lineRule="auto"/>
        <w:jc w:val="center"/>
        <w:outlineLvl w:val="2"/>
        <w:rPr>
          <w:rFonts w:hint="default" w:ascii="宋体" w:hAnsi="宋体" w:eastAsia="宋体" w:cs="Times New Roman"/>
          <w:b/>
          <w:color w:val="auto"/>
          <w:kern w:val="2"/>
          <w:sz w:val="24"/>
          <w:highlight w:val="none"/>
          <w:lang w:val="en-US" w:eastAsia="zh-CN" w:bidi="ar-SA"/>
        </w:rPr>
      </w:pPr>
      <w:r>
        <w:rPr>
          <w:rFonts w:ascii="宋体" w:hAnsi="宋体" w:eastAsia="宋体" w:cs="Times New Roman"/>
          <w:b/>
          <w:color w:val="auto"/>
          <w:kern w:val="2"/>
          <w:sz w:val="24"/>
          <w:highlight w:val="none"/>
          <w:lang w:val="en-US" w:eastAsia="zh-CN" w:bidi="ar-SA"/>
        </w:rPr>
        <w:t>第</w:t>
      </w:r>
      <w:r>
        <w:rPr>
          <w:rFonts w:hint="eastAsia" w:ascii="宋体" w:hAnsi="宋体" w:eastAsia="宋体" w:cs="Times New Roman"/>
          <w:b/>
          <w:color w:val="auto"/>
          <w:kern w:val="2"/>
          <w:sz w:val="24"/>
          <w:highlight w:val="none"/>
          <w:lang w:val="en-US" w:eastAsia="zh-CN" w:bidi="ar-SA"/>
        </w:rPr>
        <w:t>四节</w:t>
      </w:r>
      <w:r>
        <w:rPr>
          <w:rFonts w:ascii="宋体" w:hAnsi="宋体" w:eastAsia="宋体" w:cs="Times New Roman"/>
          <w:b/>
          <w:color w:val="auto"/>
          <w:kern w:val="2"/>
          <w:sz w:val="24"/>
          <w:highlight w:val="none"/>
          <w:lang w:val="en-US" w:eastAsia="zh-CN" w:bidi="ar-SA"/>
        </w:rPr>
        <w:t xml:space="preserve"> </w:t>
      </w:r>
      <w:r>
        <w:rPr>
          <w:rFonts w:hint="eastAsia" w:ascii="宋体" w:hAnsi="宋体" w:eastAsia="宋体" w:cs="Times New Roman"/>
          <w:b/>
          <w:color w:val="auto"/>
          <w:kern w:val="2"/>
          <w:sz w:val="24"/>
          <w:highlight w:val="none"/>
          <w:lang w:val="en-US" w:eastAsia="zh-CN" w:bidi="ar-SA"/>
        </w:rPr>
        <w:t xml:space="preserve"> 合同附件</w:t>
      </w:r>
    </w:p>
    <w:p>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附件1：工程质量保修书</w:t>
      </w:r>
    </w:p>
    <w:p>
      <w:pPr>
        <w:spacing w:after="0" w:line="360" w:lineRule="auto"/>
        <w:ind w:firstLine="420" w:firstLineChars="200"/>
        <w:rPr>
          <w:rFonts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附件2：合规及廉洁自律承诺书</w:t>
      </w:r>
    </w:p>
    <w:p>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附件3：安全生产管理协议</w:t>
      </w:r>
    </w:p>
    <w:p>
      <w:pPr>
        <w:spacing w:after="0" w:line="360" w:lineRule="auto"/>
        <w:ind w:firstLine="420" w:firstLineChars="200"/>
        <w:rPr>
          <w:rFonts w:hint="eastAsia" w:ascii="宋体" w:hAnsi="宋体" w:eastAsia="宋体" w:cs="Times New Roman"/>
          <w:bCs/>
          <w:color w:val="auto"/>
          <w:kern w:val="2"/>
          <w:sz w:val="21"/>
          <w:szCs w:val="21"/>
          <w:highlight w:val="none"/>
          <w:lang w:eastAsia="zh-CN"/>
        </w:rPr>
      </w:pPr>
      <w:r>
        <w:rPr>
          <w:rFonts w:hint="eastAsia" w:ascii="宋体" w:hAnsi="宋体" w:eastAsia="宋体" w:cs="Times New Roman"/>
          <w:bCs/>
          <w:color w:val="auto"/>
          <w:kern w:val="2"/>
          <w:sz w:val="21"/>
          <w:szCs w:val="21"/>
          <w:highlight w:val="none"/>
          <w:lang w:eastAsia="zh-CN"/>
        </w:rPr>
        <w:t>附件4：施工环保协议书</w:t>
      </w:r>
    </w:p>
    <w:p>
      <w:pPr>
        <w:spacing w:after="0" w:line="360" w:lineRule="auto"/>
        <w:ind w:firstLine="0" w:firstLineChars="0"/>
        <w:rPr>
          <w:rFonts w:hint="eastAsia" w:ascii="宋体" w:hAnsi="宋体" w:eastAsia="宋体" w:cs="Times New Roman"/>
          <w:bCs/>
          <w:color w:val="auto"/>
          <w:kern w:val="2"/>
          <w:sz w:val="21"/>
          <w:szCs w:val="21"/>
          <w:highlight w:val="none"/>
          <w:lang w:eastAsia="zh-CN"/>
        </w:rPr>
      </w:pPr>
      <w:r>
        <w:rPr>
          <w:rFonts w:ascii="宋体" w:hAnsi="宋体" w:eastAsia="宋体" w:cs="Times New Roman"/>
          <w:bCs/>
          <w:color w:val="auto"/>
          <w:kern w:val="2"/>
          <w:sz w:val="24"/>
          <w:szCs w:val="20"/>
          <w:highlight w:val="none"/>
          <w:lang w:eastAsia="zh-CN"/>
        </w:rPr>
        <w:br w:type="page"/>
      </w:r>
      <w:bookmarkStart w:id="486" w:name="_Toc305841712"/>
      <w:bookmarkStart w:id="487" w:name="_Toc135381016"/>
      <w:bookmarkStart w:id="488" w:name="_Toc138132561"/>
      <w:r>
        <w:rPr>
          <w:rFonts w:hint="eastAsia" w:ascii="宋体" w:hAnsi="宋体" w:eastAsia="宋体" w:cs="Times New Roman"/>
          <w:bCs/>
          <w:color w:val="auto"/>
          <w:kern w:val="2"/>
          <w:sz w:val="32"/>
          <w:szCs w:val="32"/>
          <w:highlight w:val="none"/>
          <w:lang w:eastAsia="zh-CN"/>
        </w:rPr>
        <w:t>附件1：</w:t>
      </w:r>
      <w:bookmarkEnd w:id="486"/>
    </w:p>
    <w:p>
      <w:pPr>
        <w:spacing w:after="0" w:line="360" w:lineRule="auto"/>
        <w:ind w:firstLine="0" w:firstLineChars="0"/>
        <w:jc w:val="center"/>
        <w:rPr>
          <w:rFonts w:hint="eastAsia" w:ascii="宋体" w:hAnsi="宋体" w:eastAsia="宋体" w:cs="Times New Roman"/>
          <w:bCs/>
          <w:color w:val="auto"/>
          <w:kern w:val="2"/>
          <w:sz w:val="30"/>
          <w:szCs w:val="30"/>
          <w:highlight w:val="none"/>
          <w:lang w:eastAsia="zh-CN"/>
        </w:rPr>
      </w:pPr>
    </w:p>
    <w:p>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工程质量保修书</w:t>
      </w:r>
      <w:bookmarkEnd w:id="487"/>
      <w:bookmarkEnd w:id="488"/>
    </w:p>
    <w:p>
      <w:pPr>
        <w:adjustRightInd w:val="0"/>
        <w:snapToGrid w:val="0"/>
        <w:spacing w:before="312" w:beforeLines="100" w:after="468" w:afterLines="150" w:line="360" w:lineRule="auto"/>
        <w:ind w:firstLine="0" w:firstLineChars="0"/>
        <w:jc w:val="left"/>
        <w:rPr>
          <w:rFonts w:hint="eastAsia" w:ascii="宋体" w:hAnsi="宋体" w:eastAsia="宋体" w:cs="Times New Roman"/>
          <w:bCs/>
          <w:color w:val="auto"/>
          <w:kern w:val="2"/>
          <w:sz w:val="32"/>
          <w:szCs w:val="32"/>
          <w:highlight w:val="none"/>
          <w:lang w:eastAsia="zh-CN"/>
        </w:rPr>
      </w:pPr>
      <w:bookmarkStart w:id="489" w:name="_Toc305841713"/>
      <w:r>
        <w:rPr>
          <w:rFonts w:ascii="宋体" w:hAnsi="宋体" w:eastAsia="宋体" w:cs="Times New Roman"/>
          <w:bCs/>
          <w:color w:val="auto"/>
          <w:kern w:val="2"/>
          <w:sz w:val="30"/>
          <w:szCs w:val="30"/>
          <w:highlight w:val="none"/>
          <w:lang w:eastAsia="zh-CN"/>
        </w:rPr>
        <w:br w:type="page"/>
      </w:r>
      <w:r>
        <w:rPr>
          <w:rFonts w:hint="eastAsia" w:ascii="宋体" w:hAnsi="宋体" w:eastAsia="宋体" w:cs="Times New Roman"/>
          <w:bCs/>
          <w:color w:val="auto"/>
          <w:kern w:val="2"/>
          <w:sz w:val="30"/>
          <w:szCs w:val="30"/>
          <w:highlight w:val="none"/>
          <w:lang w:eastAsia="zh-CN"/>
        </w:rPr>
        <w:t>附件2：</w:t>
      </w:r>
      <w:bookmarkEnd w:id="489"/>
      <w:bookmarkStart w:id="490" w:name="_Toc209513671"/>
      <w:bookmarkStart w:id="491" w:name="_Toc305841714"/>
    </w:p>
    <w:p>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合规及廉洁自律承诺书</w:t>
      </w:r>
    </w:p>
    <w:p>
      <w:pPr>
        <w:spacing w:after="0" w:line="580" w:lineRule="exact"/>
        <w:ind w:firstLine="420" w:firstLineChars="200"/>
        <w:rPr>
          <w:rFonts w:hint="eastAsia" w:ascii="宋体" w:hAnsi="宋体" w:eastAsia="宋体" w:cs="Times New Roman"/>
          <w:color w:val="auto"/>
          <w:kern w:val="2"/>
          <w:sz w:val="21"/>
          <w:szCs w:val="21"/>
          <w:highlight w:val="none"/>
          <w:lang w:eastAsia="zh-CN"/>
        </w:rPr>
      </w:pPr>
    </w:p>
    <w:p>
      <w:pP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br w:type="page"/>
      </w:r>
    </w:p>
    <w:p>
      <w:pPr>
        <w:spacing w:after="0" w:line="360" w:lineRule="auto"/>
        <w:ind w:firstLine="0" w:firstLineChars="0"/>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附件3：</w:t>
      </w:r>
    </w:p>
    <w:p>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安全生产管理协议</w:t>
      </w:r>
    </w:p>
    <w:p>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pPr>
        <w:spacing w:after="0" w:line="360" w:lineRule="auto"/>
        <w:ind w:firstLine="0" w:firstLineChars="0"/>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附件4：</w:t>
      </w:r>
    </w:p>
    <w:p>
      <w:pPr>
        <w:spacing w:after="0" w:line="360" w:lineRule="auto"/>
        <w:ind w:firstLine="0" w:firstLineChars="0"/>
        <w:jc w:val="center"/>
        <w:rPr>
          <w:rFonts w:hint="eastAsia" w:ascii="宋体" w:hAnsi="宋体" w:eastAsia="宋体" w:cs="Times New Roman"/>
          <w:bCs/>
          <w:color w:val="auto"/>
          <w:kern w:val="2"/>
          <w:sz w:val="32"/>
          <w:szCs w:val="32"/>
          <w:highlight w:val="none"/>
          <w:lang w:eastAsia="zh-CN"/>
        </w:rPr>
      </w:pPr>
      <w:r>
        <w:rPr>
          <w:rFonts w:hint="eastAsia" w:ascii="宋体" w:hAnsi="宋体" w:eastAsia="宋体" w:cs="Times New Roman"/>
          <w:bCs/>
          <w:color w:val="auto"/>
          <w:kern w:val="2"/>
          <w:sz w:val="32"/>
          <w:szCs w:val="32"/>
          <w:highlight w:val="none"/>
          <w:lang w:eastAsia="zh-CN"/>
        </w:rPr>
        <w:t>施工环保协议书</w:t>
      </w:r>
    </w:p>
    <w:bookmarkEnd w:id="490"/>
    <w:bookmarkEnd w:id="491"/>
    <w:p>
      <w:pPr>
        <w:rPr>
          <w:rFonts w:hint="eastAsia" w:asciiTheme="majorEastAsia" w:hAnsiTheme="majorEastAsia" w:eastAsiaTheme="majorEastAsia" w:cstheme="majorEastAsia"/>
          <w:b/>
          <w:bCs/>
          <w:color w:val="auto"/>
          <w:sz w:val="44"/>
          <w:szCs w:val="44"/>
          <w:highlight w:val="none"/>
        </w:rPr>
      </w:pPr>
      <w:r>
        <w:rPr>
          <w:rFonts w:hint="eastAsia" w:asciiTheme="majorEastAsia" w:hAnsiTheme="majorEastAsia" w:eastAsiaTheme="majorEastAsia" w:cstheme="majorEastAsia"/>
          <w:b/>
          <w:bCs/>
          <w:color w:val="auto"/>
          <w:sz w:val="44"/>
          <w:szCs w:val="44"/>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492" w:name="_Toc30828"/>
      <w:r>
        <w:rPr>
          <w:rFonts w:hint="eastAsia" w:asciiTheme="majorEastAsia" w:hAnsiTheme="majorEastAsia" w:eastAsiaTheme="majorEastAsia" w:cstheme="majorEastAsia"/>
          <w:b/>
          <w:bCs/>
          <w:color w:val="auto"/>
          <w:sz w:val="44"/>
          <w:szCs w:val="44"/>
          <w:highlight w:val="none"/>
        </w:rPr>
        <w:t>第五章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工程量清单</w:t>
      </w:r>
      <w:bookmarkEnd w:id="200"/>
      <w:bookmarkEnd w:id="492"/>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华文中宋" w:hAnsi="华文中宋" w:eastAsia="华文中宋" w:cs="华文中宋"/>
          <w:color w:val="auto"/>
          <w:sz w:val="20"/>
          <w:szCs w:val="2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ascii="黑体" w:hAnsi="黑体" w:eastAsia="黑体" w:cs="黑体"/>
          <w:color w:val="auto"/>
          <w:spacing w:val="0"/>
          <w:w w:val="100"/>
          <w:sz w:val="28"/>
          <w:szCs w:val="28"/>
          <w:highlight w:val="none"/>
        </w:rPr>
      </w:pPr>
      <w:bookmarkStart w:id="493" w:name="_bookmark262"/>
      <w:bookmarkEnd w:id="493"/>
      <w:bookmarkStart w:id="494" w:name="1. 工程量清单说明"/>
      <w:bookmarkEnd w:id="494"/>
      <w:r>
        <w:rPr>
          <w:rFonts w:ascii="黑体" w:hAnsi="黑体" w:eastAsia="黑体" w:cs="黑体"/>
          <w:color w:val="auto"/>
          <w:spacing w:val="0"/>
          <w:w w:val="100"/>
          <w:sz w:val="28"/>
          <w:szCs w:val="28"/>
          <w:highlight w:val="none"/>
        </w:rPr>
        <w:t>1.工程量清单说明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   位。</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1.2 本工程量清单应与招标文件中的投标人须知、通用合同条款、专用合同条款、技术标准和要求及图纸等一起阅读和理解。</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1.3 本工程量清单仅是投标报价的共同基础，实际工程计量和工程价款的支付应遵循合同条款的约定和第七章“技术标准和要求”的有关规定。</w:t>
      </w:r>
    </w:p>
    <w:p>
      <w:pPr>
        <w:pStyle w:val="9"/>
        <w:keepNext w:val="0"/>
        <w:keepLines w:val="0"/>
        <w:pageBreakBefore w:val="0"/>
        <w:widowControl w:val="0"/>
        <w:tabs>
          <w:tab w:val="left" w:pos="8717"/>
        </w:tabs>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1.4 补充子目工程量计算规则及子目工作内容说明：</w:t>
      </w:r>
      <w:r>
        <w:rPr>
          <w:rFonts w:ascii="Times New Roman" w:hAnsi="Times New Roman" w:eastAsia="Times New Roman" w:cs="Times New Roman"/>
          <w:color w:val="auto"/>
          <w:spacing w:val="0"/>
          <w:w w:val="100"/>
          <w:highlight w:val="none"/>
          <w:u w:val="single" w:color="000000"/>
        </w:rPr>
        <w:tab/>
      </w:r>
      <w:r>
        <w:rPr>
          <w:color w:val="auto"/>
          <w:spacing w:val="0"/>
          <w:w w:val="100"/>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ascii="黑体" w:hAnsi="黑体" w:eastAsia="黑体" w:cs="黑体"/>
          <w:color w:val="auto"/>
          <w:spacing w:val="0"/>
          <w:w w:val="100"/>
          <w:sz w:val="28"/>
          <w:szCs w:val="28"/>
          <w:highlight w:val="none"/>
        </w:rPr>
      </w:pPr>
      <w:bookmarkStart w:id="495" w:name="2. 投标报价说明"/>
      <w:bookmarkEnd w:id="495"/>
      <w:bookmarkStart w:id="496" w:name="_bookmark263"/>
      <w:bookmarkEnd w:id="496"/>
      <w:r>
        <w:rPr>
          <w:rFonts w:ascii="黑体" w:hAnsi="黑体" w:eastAsia="黑体" w:cs="黑体"/>
          <w:color w:val="auto"/>
          <w:spacing w:val="0"/>
          <w:w w:val="100"/>
          <w:sz w:val="28"/>
          <w:szCs w:val="28"/>
          <w:highlight w:val="none"/>
        </w:rPr>
        <w:t>2.投标报价说明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2.1 工程量清单中的每一子目须填入单价或价格，且只允许有一个报价。</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2.2 工程量清单中标价的单价或金额，应包括所需人工费、施工机械使用费、材料费、其他（运杂费、质检费、安装费、缺陷修复费、保险费，以及合同明示或暗示的风险、责任和义务等）， 以及管理费、利润等。</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2.3 工程量清单中投标人没有填入单价或价格的子目，其费用视为已分摊在工程量清单中其他相关子目的单价或价格之中。</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2.4 暂列金额的数量及拟用子目的说明：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color w:val="auto"/>
          <w:spacing w:val="0"/>
          <w:w w:val="100"/>
          <w:highlight w:val="none"/>
        </w:rPr>
      </w:pPr>
      <w:r>
        <w:rPr>
          <w:color w:val="auto"/>
          <w:spacing w:val="0"/>
          <w:w w:val="100"/>
          <w:highlight w:val="none"/>
        </w:rPr>
        <w:t>2.5 暂估价的数量及拟用子目的说明：</w:t>
      </w:r>
    </w:p>
    <w:p>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ascii="黑体" w:hAnsi="黑体" w:eastAsia="黑体" w:cs="黑体"/>
          <w:color w:val="auto"/>
          <w:spacing w:val="0"/>
          <w:w w:val="100"/>
          <w:sz w:val="28"/>
          <w:szCs w:val="28"/>
          <w:highlight w:val="none"/>
        </w:rPr>
      </w:pPr>
      <w:bookmarkStart w:id="497" w:name="3. 其他说明"/>
      <w:bookmarkEnd w:id="497"/>
      <w:bookmarkStart w:id="498" w:name="_bookmark264"/>
      <w:bookmarkEnd w:id="498"/>
      <w:r>
        <w:rPr>
          <w:rFonts w:ascii="黑体" w:hAnsi="黑体" w:eastAsia="黑体" w:cs="黑体"/>
          <w:color w:val="auto"/>
          <w:spacing w:val="0"/>
          <w:w w:val="100"/>
          <w:sz w:val="28"/>
          <w:szCs w:val="28"/>
          <w:highlight w:val="none"/>
        </w:rPr>
        <w:t>3.其他说明</w:t>
      </w:r>
    </w:p>
    <w:p>
      <w:pPr>
        <w:keepNext w:val="0"/>
        <w:keepLines w:val="0"/>
        <w:pageBreakBefore w:val="0"/>
        <w:widowControl w:val="0"/>
        <w:kinsoku/>
        <w:wordWrap/>
        <w:overflowPunct/>
        <w:topLinePunct w:val="0"/>
        <w:autoSpaceDE/>
        <w:autoSpaceDN/>
        <w:bidi w:val="0"/>
        <w:adjustRightInd w:val="0"/>
        <w:snapToGrid w:val="0"/>
        <w:spacing w:line="360" w:lineRule="auto"/>
        <w:ind w:right="0"/>
        <w:jc w:val="both"/>
        <w:textAlignment w:val="auto"/>
        <w:rPr>
          <w:rFonts w:ascii="黑体" w:hAnsi="黑体" w:eastAsia="黑体" w:cs="黑体"/>
          <w:color w:val="auto"/>
          <w:sz w:val="28"/>
          <w:szCs w:val="28"/>
          <w:highlight w:val="none"/>
        </w:rPr>
      </w:pPr>
      <w:bookmarkStart w:id="499" w:name="_bookmark265"/>
      <w:bookmarkEnd w:id="499"/>
      <w:bookmarkStart w:id="500" w:name="4. 工程量清单"/>
      <w:bookmarkEnd w:id="500"/>
      <w:r>
        <w:rPr>
          <w:rFonts w:ascii="黑体" w:hAnsi="黑体" w:eastAsia="黑体" w:cs="黑体"/>
          <w:color w:val="auto"/>
          <w:spacing w:val="0"/>
          <w:w w:val="100"/>
          <w:sz w:val="28"/>
          <w:szCs w:val="28"/>
          <w:highlight w:val="none"/>
        </w:rPr>
        <w:t>4.工程量清单</w:t>
      </w:r>
    </w:p>
    <w:p>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rPr>
          <w:rFonts w:ascii="黑体" w:hAnsi="黑体" w:eastAsia="黑体" w:cs="黑体"/>
          <w:color w:val="auto"/>
          <w:sz w:val="28"/>
          <w:szCs w:val="28"/>
          <w:highlight w:val="none"/>
        </w:rPr>
        <w:sectPr>
          <w:headerReference r:id="rId10" w:type="default"/>
          <w:footerReference r:id="rId11" w:type="default"/>
          <w:pgSz w:w="11910" w:h="16840"/>
          <w:pgMar w:top="1580" w:right="1320" w:bottom="1480" w:left="1480" w:header="0" w:footer="1290"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501" w:name="_bookmark267"/>
      <w:bookmarkEnd w:id="501"/>
      <w:bookmarkStart w:id="502" w:name="第六章 图  纸"/>
      <w:bookmarkEnd w:id="502"/>
      <w:bookmarkStart w:id="503" w:name="_Toc25519"/>
      <w:bookmarkStart w:id="504" w:name="_Toc23484"/>
      <w:r>
        <w:rPr>
          <w:rFonts w:hint="eastAsia" w:asciiTheme="majorEastAsia" w:hAnsiTheme="majorEastAsia" w:eastAsiaTheme="majorEastAsia" w:cstheme="majorEastAsia"/>
          <w:b/>
          <w:bCs/>
          <w:color w:val="auto"/>
          <w:sz w:val="44"/>
          <w:szCs w:val="44"/>
          <w:highlight w:val="none"/>
        </w:rPr>
        <w:t>第六章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图纸</w:t>
      </w:r>
      <w:bookmarkEnd w:id="503"/>
      <w:bookmarkEnd w:id="504"/>
    </w:p>
    <w:p>
      <w:pPr>
        <w:keepNext w:val="0"/>
        <w:keepLines w:val="0"/>
        <w:pageBreakBefore w:val="0"/>
        <w:widowControl/>
        <w:kinsoku/>
        <w:wordWrap/>
        <w:overflowPunct/>
        <w:bidi w:val="0"/>
        <w:adjustRightInd/>
        <w:snapToGrid/>
        <w:spacing w:line="240" w:lineRule="auto"/>
        <w:ind w:left="0" w:right="0" w:firstLine="0" w:firstLine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505" w:name="第七章 技术标准和要求"/>
      <w:bookmarkEnd w:id="505"/>
      <w:bookmarkStart w:id="506" w:name="_bookmark269"/>
      <w:bookmarkEnd w:id="506"/>
      <w:bookmarkStart w:id="507" w:name="_Toc7163"/>
      <w:bookmarkStart w:id="508" w:name="_Toc19740"/>
      <w:r>
        <w:rPr>
          <w:rFonts w:hint="eastAsia" w:asciiTheme="majorEastAsia" w:hAnsiTheme="majorEastAsia" w:eastAsiaTheme="majorEastAsia" w:cstheme="majorEastAsia"/>
          <w:b/>
          <w:bCs/>
          <w:color w:val="auto"/>
          <w:sz w:val="44"/>
          <w:szCs w:val="44"/>
          <w:highlight w:val="none"/>
        </w:rPr>
        <w:t>第七章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技术标准和要求</w:t>
      </w:r>
      <w:bookmarkEnd w:id="507"/>
      <w:bookmarkEnd w:id="508"/>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华文中宋" w:hAnsi="华文中宋" w:eastAsia="华文中宋" w:cs="华文中宋"/>
          <w:color w:val="auto"/>
          <w:sz w:val="24"/>
          <w:szCs w:val="24"/>
          <w:highlight w:val="none"/>
        </w:rPr>
      </w:pP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color w:val="auto"/>
          <w:kern w:val="0"/>
          <w:sz w:val="24"/>
          <w:szCs w:val="24"/>
          <w:highlight w:val="none"/>
        </w:rPr>
      </w:pPr>
      <w:bookmarkStart w:id="509" w:name="_bookmark270"/>
      <w:bookmarkEnd w:id="509"/>
      <w:bookmarkStart w:id="510" w:name="第四卷"/>
      <w:bookmarkEnd w:id="510"/>
      <w:r>
        <w:rPr>
          <w:rFonts w:hint="eastAsia" w:asciiTheme="minorEastAsia" w:hAnsiTheme="minorEastAsia" w:eastAsiaTheme="minorEastAsia" w:cstheme="minorEastAsia"/>
          <w:color w:val="auto"/>
          <w:kern w:val="0"/>
          <w:sz w:val="24"/>
          <w:szCs w:val="24"/>
          <w:highlight w:val="none"/>
        </w:rPr>
        <w:t>技术标准和要求</w:t>
      </w:r>
    </w:p>
    <w:p>
      <w:pPr>
        <w:pStyle w:val="26"/>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一、本招标工程项目的材料、设备、施工须达到现行中华人民共和国以及省、自治区、直辖市或行业的工程建设标准、规范的要求；</w:t>
      </w:r>
      <w:r>
        <w:rPr>
          <w:rFonts w:hint="eastAsia" w:asciiTheme="minorEastAsia" w:hAnsiTheme="minorEastAsia" w:eastAsiaTheme="minorEastAsia" w:cstheme="minorEastAsia"/>
          <w:color w:val="auto"/>
          <w:sz w:val="24"/>
          <w:szCs w:val="24"/>
          <w:highlight w:val="none"/>
        </w:rPr>
        <w:t>严格遵照设计施工图及国家或行业有关标准、规范执行。</w:t>
      </w:r>
    </w:p>
    <w:p>
      <w:pPr>
        <w:pStyle w:val="26"/>
        <w:keepNext w:val="0"/>
        <w:keepLines w:val="0"/>
        <w:pageBreakBefore w:val="0"/>
        <w:kinsoku/>
        <w:wordWrap/>
        <w:overflowPunct/>
        <w:topLinePunct w:val="0"/>
        <w:autoSpaceDE/>
        <w:autoSpaceDN/>
        <w:bidi w:val="0"/>
        <w:spacing w:line="360" w:lineRule="auto"/>
        <w:ind w:firstLine="480" w:firstLineChars="200"/>
        <w:jc w:val="both"/>
        <w:textAlignment w:val="auto"/>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二、本招标工程项目的安全生产、文明施工、环境保护措施应符合中华人民共和国以及省、市、自治区、直辖市或行业以及当地政府的有关法律、法规的要求。</w:t>
      </w:r>
    </w:p>
    <w:p>
      <w:pPr>
        <w:keepNext w:val="0"/>
        <w:keepLines w:val="0"/>
        <w:pageBreakBefore w:val="0"/>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heme="minorEastAsia" w:hAnsiTheme="minorEastAsia" w:eastAsiaTheme="minorEastAsia" w:cstheme="minorEastAsia"/>
          <w:snapToGrid w:val="0"/>
          <w:color w:val="auto"/>
          <w:sz w:val="24"/>
          <w:szCs w:val="24"/>
          <w:highlight w:val="none"/>
        </w:rPr>
      </w:pPr>
      <w:r>
        <w:rPr>
          <w:rFonts w:hint="eastAsia" w:asciiTheme="minorEastAsia" w:hAnsiTheme="minorEastAsia" w:eastAsiaTheme="minorEastAsia" w:cstheme="minorEastAsia"/>
          <w:snapToGrid w:val="0"/>
          <w:color w:val="auto"/>
          <w:sz w:val="24"/>
          <w:szCs w:val="24"/>
          <w:highlight w:val="none"/>
        </w:rPr>
        <w:t>三、根据工程设计要求及所处地域当地政府的相关规定，适用时本招标工程项目的材料、设备、施工必须达到但不限于以下现行标准或规范及其最新版本的要求。</w:t>
      </w:r>
    </w:p>
    <w:p>
      <w:pPr>
        <w:keepNext w:val="0"/>
        <w:keepLines w:val="0"/>
        <w:pageBreakBefore w:val="0"/>
        <w:kinsoku/>
        <w:wordWrap/>
        <w:overflowPunct/>
        <w:topLinePunct w:val="0"/>
        <w:autoSpaceDE/>
        <w:autoSpaceDN/>
        <w:bidi w:val="0"/>
        <w:adjustRightInd w:val="0"/>
        <w:snapToGrid w:val="0"/>
        <w:spacing w:after="0" w:line="360" w:lineRule="auto"/>
        <w:textAlignment w:val="auto"/>
        <w:rPr>
          <w:rFonts w:ascii="华文中宋" w:hAnsi="华文中宋" w:eastAsia="华文中宋" w:cs="华文中宋"/>
          <w:color w:val="auto"/>
          <w:sz w:val="44"/>
          <w:szCs w:val="44"/>
          <w:highlight w:val="none"/>
        </w:rPr>
        <w:sectPr>
          <w:footerReference r:id="rId12" w:type="default"/>
          <w:pgSz w:w="11910" w:h="16840"/>
          <w:pgMar w:top="1580" w:right="1680" w:bottom="1480" w:left="1680" w:header="0" w:footer="1290"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0"/>
        <w:rPr>
          <w:rFonts w:hint="eastAsia" w:asciiTheme="majorEastAsia" w:hAnsiTheme="majorEastAsia" w:eastAsiaTheme="majorEastAsia" w:cstheme="majorEastAsia"/>
          <w:b/>
          <w:bCs/>
          <w:color w:val="auto"/>
          <w:sz w:val="44"/>
          <w:szCs w:val="44"/>
          <w:highlight w:val="none"/>
        </w:rPr>
      </w:pPr>
      <w:bookmarkStart w:id="511" w:name="_bookmark271"/>
      <w:bookmarkEnd w:id="511"/>
      <w:bookmarkStart w:id="512" w:name="第八章 投标文件格式"/>
      <w:bookmarkEnd w:id="512"/>
      <w:bookmarkStart w:id="513" w:name="_Toc31080"/>
      <w:bookmarkStart w:id="514" w:name="_Toc1271"/>
      <w:r>
        <w:rPr>
          <w:rFonts w:hint="eastAsia" w:asciiTheme="majorEastAsia" w:hAnsiTheme="majorEastAsia" w:eastAsiaTheme="majorEastAsia" w:cstheme="majorEastAsia"/>
          <w:b/>
          <w:bCs/>
          <w:color w:val="auto"/>
          <w:sz w:val="44"/>
          <w:szCs w:val="44"/>
          <w:highlight w:val="none"/>
        </w:rPr>
        <w:t>第八章</w:t>
      </w:r>
      <w:r>
        <w:rPr>
          <w:rFonts w:hint="eastAsia" w:asciiTheme="majorEastAsia" w:hAnsiTheme="majorEastAsia" w:eastAsiaTheme="majorEastAsia" w:cstheme="majorEastAsia"/>
          <w:b/>
          <w:bCs/>
          <w:color w:val="auto"/>
          <w:sz w:val="44"/>
          <w:szCs w:val="44"/>
          <w:highlight w:val="none"/>
          <w:lang w:val="en-US" w:eastAsia="zh-CN"/>
        </w:rPr>
        <w:t xml:space="preserve">  </w:t>
      </w:r>
      <w:r>
        <w:rPr>
          <w:rFonts w:hint="eastAsia" w:asciiTheme="majorEastAsia" w:hAnsiTheme="majorEastAsia" w:eastAsiaTheme="majorEastAsia" w:cstheme="majorEastAsia"/>
          <w:b/>
          <w:bCs/>
          <w:color w:val="auto"/>
          <w:sz w:val="44"/>
          <w:szCs w:val="44"/>
          <w:highlight w:val="none"/>
        </w:rPr>
        <w:t>投标文件格式</w:t>
      </w:r>
      <w:bookmarkEnd w:id="513"/>
      <w:bookmarkEnd w:id="514"/>
    </w:p>
    <w:p>
      <w:pPr>
        <w:keepNext w:val="0"/>
        <w:keepLines w:val="0"/>
        <w:pageBreakBefore w:val="0"/>
        <w:widowControl w:val="0"/>
        <w:tabs>
          <w:tab w:val="left" w:pos="1735"/>
          <w:tab w:val="left" w:pos="5095"/>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Times New Roman" w:hAnsi="Times New Roman" w:eastAsia="Times New Roman" w:cs="Times New Roman"/>
          <w:color w:val="auto"/>
          <w:w w:val="100"/>
          <w:sz w:val="44"/>
          <w:szCs w:val="44"/>
          <w:highlight w:val="none"/>
          <w:u w:val="single" w:color="000000"/>
        </w:rPr>
        <w:t xml:space="preserve"> </w:t>
      </w:r>
      <w:r>
        <w:rPr>
          <w:rFonts w:ascii="Times New Roman" w:hAnsi="Times New Roman" w:eastAsia="Times New Roman" w:cs="Times New Roman"/>
          <w:color w:val="auto"/>
          <w:sz w:val="44"/>
          <w:szCs w:val="44"/>
          <w:highlight w:val="none"/>
          <w:u w:val="single" w:color="000000"/>
        </w:rPr>
        <w:tab/>
      </w:r>
      <w:r>
        <w:rPr>
          <w:rFonts w:ascii="黑体" w:hAnsi="黑体" w:eastAsia="黑体" w:cs="黑体"/>
          <w:color w:val="auto"/>
          <w:spacing w:val="-2"/>
          <w:sz w:val="44"/>
          <w:szCs w:val="44"/>
          <w:highlight w:val="none"/>
        </w:rPr>
        <w:t>（项目名称）</w:t>
      </w:r>
      <w:r>
        <w:rPr>
          <w:rFonts w:ascii="Times New Roman" w:hAnsi="Times New Roman" w:eastAsia="Times New Roman" w:cs="Times New Roman"/>
          <w:color w:val="auto"/>
          <w:spacing w:val="-2"/>
          <w:sz w:val="44"/>
          <w:szCs w:val="44"/>
          <w:highlight w:val="none"/>
          <w:u w:val="single" w:color="000000"/>
        </w:rPr>
        <w:tab/>
      </w:r>
      <w:r>
        <w:rPr>
          <w:rFonts w:ascii="黑体" w:hAnsi="黑体" w:eastAsia="黑体" w:cs="黑体"/>
          <w:color w:val="auto"/>
          <w:spacing w:val="-2"/>
          <w:sz w:val="44"/>
          <w:szCs w:val="44"/>
          <w:highlight w:val="none"/>
        </w:rPr>
        <w:t>标段施工招标</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z w:val="44"/>
          <w:szCs w:val="44"/>
          <w:highlight w:val="none"/>
        </w:rPr>
        <w:t>投标文件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50"/>
          <w:szCs w:val="50"/>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color w:val="auto"/>
          <w:sz w:val="50"/>
          <w:szCs w:val="50"/>
          <w:highlight w:val="none"/>
        </w:rPr>
      </w:pPr>
    </w:p>
    <w:p>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t>投标人：</w:t>
      </w:r>
      <w:r>
        <w:rPr>
          <w:rFonts w:hint="eastAsia" w:ascii="黑体" w:hAnsi="黑体" w:eastAsia="黑体" w:cs="黑体"/>
          <w:color w:val="auto"/>
          <w:spacing w:val="-2"/>
          <w:sz w:val="28"/>
          <w:szCs w:val="28"/>
          <w:highlight w:val="none"/>
          <w:u w:val="single"/>
          <w:lang w:val="en-US" w:eastAsia="zh-CN"/>
        </w:rPr>
        <w:t xml:space="preserve">                  </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p>
    <w:p>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法定代表人或其委托代理人：</w:t>
      </w: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color w:val="auto"/>
          <w:spacing w:val="-3"/>
          <w:sz w:val="28"/>
          <w:szCs w:val="28"/>
          <w:highlight w:val="none"/>
          <w:u w:val="single"/>
          <w:lang w:val="en-US" w:eastAsia="zh-CN"/>
        </w:rPr>
      </w:pPr>
    </w:p>
    <w:p>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黑体" w:hAnsi="黑体" w:eastAsia="黑体" w:cs="黑体"/>
          <w:color w:val="auto"/>
          <w:spacing w:val="-3"/>
          <w:sz w:val="28"/>
          <w:szCs w:val="28"/>
          <w:highlight w:val="none"/>
          <w:u w:val="single"/>
          <w:lang w:val="en-US" w:eastAsia="zh-CN"/>
        </w:rPr>
      </w:pPr>
    </w:p>
    <w:p>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3"/>
          <w:sz w:val="28"/>
          <w:szCs w:val="28"/>
          <w:highlight w:val="none"/>
        </w:rPr>
        <w:t>年</w:t>
      </w: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1"/>
          <w:sz w:val="28"/>
          <w:szCs w:val="28"/>
          <w:highlight w:val="none"/>
        </w:rPr>
        <w:t>月</w:t>
      </w:r>
      <w:r>
        <w:rPr>
          <w:rFonts w:hint="eastAsia" w:ascii="黑体" w:hAnsi="黑体" w:eastAsia="黑体" w:cs="黑体"/>
          <w:color w:val="auto"/>
          <w:spacing w:val="-1"/>
          <w:sz w:val="28"/>
          <w:szCs w:val="28"/>
          <w:highlight w:val="none"/>
          <w:u w:val="single"/>
          <w:lang w:val="en-US" w:eastAsia="zh-CN"/>
        </w:rPr>
        <w:t xml:space="preserve">   </w:t>
      </w:r>
      <w:r>
        <w:rPr>
          <w:rFonts w:ascii="黑体" w:hAnsi="黑体" w:eastAsia="黑体" w:cs="黑体"/>
          <w:color w:val="auto"/>
          <w:sz w:val="28"/>
          <w:szCs w:val="28"/>
          <w:highlight w:val="none"/>
        </w:rPr>
        <w:t>日</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华文中宋" w:hAnsi="华文中宋" w:eastAsia="华文中宋" w:cs="华文中宋"/>
          <w:color w:val="auto"/>
          <w:sz w:val="29"/>
          <w:szCs w:val="29"/>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1"/>
        <w:rPr>
          <w:rFonts w:hint="eastAsia" w:ascii="黑体" w:hAnsi="黑体" w:eastAsia="黑体" w:cs="黑体"/>
          <w:color w:val="auto"/>
          <w:sz w:val="32"/>
          <w:szCs w:val="32"/>
          <w:highlight w:val="none"/>
        </w:rPr>
      </w:pPr>
      <w:bookmarkStart w:id="515" w:name="_bookmark272"/>
      <w:bookmarkEnd w:id="515"/>
      <w:bookmarkStart w:id="516" w:name="第一节 商务投标文件格式"/>
      <w:bookmarkEnd w:id="516"/>
      <w:bookmarkStart w:id="517" w:name="_Toc15422"/>
      <w:bookmarkStart w:id="518" w:name="_Toc22859"/>
      <w:r>
        <w:rPr>
          <w:rFonts w:hint="eastAsia" w:ascii="黑体" w:hAnsi="黑体" w:eastAsia="黑体" w:cs="黑体"/>
          <w:b w:val="0"/>
          <w:bCs w:val="0"/>
          <w:color w:val="auto"/>
          <w:sz w:val="32"/>
          <w:szCs w:val="32"/>
          <w:highlight w:val="none"/>
        </w:rPr>
        <w:t xml:space="preserve">第一节 </w:t>
      </w:r>
      <w:r>
        <w:rPr>
          <w:rFonts w:hint="eastAsia" w:ascii="黑体" w:hAnsi="黑体" w:eastAsia="黑体" w:cs="黑体"/>
          <w:b w:val="0"/>
          <w:bCs w:val="0"/>
          <w:color w:val="auto"/>
          <w:sz w:val="32"/>
          <w:szCs w:val="32"/>
          <w:highlight w:val="none"/>
          <w:lang w:val="en-US" w:eastAsia="zh-CN"/>
        </w:rPr>
        <w:t>资格投标文件</w:t>
      </w:r>
      <w:r>
        <w:rPr>
          <w:rFonts w:hint="eastAsia" w:ascii="黑体" w:hAnsi="黑体" w:eastAsia="黑体" w:cs="黑体"/>
          <w:b w:val="0"/>
          <w:bCs w:val="0"/>
          <w:color w:val="auto"/>
          <w:sz w:val="32"/>
          <w:szCs w:val="32"/>
          <w:highlight w:val="none"/>
        </w:rPr>
        <w:t>格</w:t>
      </w:r>
      <w:r>
        <w:rPr>
          <w:rFonts w:hint="eastAsia" w:ascii="黑体" w:hAnsi="黑体" w:eastAsia="黑体" w:cs="黑体"/>
          <w:color w:val="auto"/>
          <w:sz w:val="32"/>
          <w:szCs w:val="32"/>
          <w:highlight w:val="none"/>
        </w:rPr>
        <w:t>式</w:t>
      </w:r>
      <w:bookmarkEnd w:id="517"/>
    </w:p>
    <w:p>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一、营业执照</w:t>
      </w: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附扫描件。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宋体" w:hAnsi="宋体"/>
          <w:color w:val="auto"/>
          <w:szCs w:val="21"/>
          <w:highlight w:val="none"/>
        </w:rPr>
      </w:pPr>
      <w:r>
        <w:rPr>
          <w:b w:val="0"/>
          <w:bCs w:val="0"/>
          <w:color w:val="auto"/>
          <w:kern w:val="0"/>
          <w:highlight w:val="none"/>
        </w:rPr>
        <w:br w:type="page"/>
      </w:r>
      <w:r>
        <w:rPr>
          <w:rFonts w:hint="eastAsia" w:ascii="黑体" w:hAnsi="黑体" w:eastAsia="黑体" w:cs="黑体"/>
          <w:color w:val="auto"/>
          <w:sz w:val="32"/>
          <w:szCs w:val="32"/>
          <w:highlight w:val="none"/>
        </w:rPr>
        <w:t>二、资质证书</w:t>
      </w: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附扫描件。</w:t>
      </w:r>
    </w:p>
    <w:p>
      <w:pPr>
        <w:widowControl/>
        <w:jc w:val="left"/>
        <w:rPr>
          <w:color w:val="auto"/>
          <w:highlight w:val="none"/>
        </w:rPr>
      </w:pPr>
      <w:r>
        <w:rPr>
          <w:color w:val="auto"/>
          <w:highlight w:val="none"/>
        </w:rPr>
        <w:br w:type="page"/>
      </w:r>
    </w:p>
    <w:p>
      <w:pPr>
        <w:rPr>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三、安全生产许可证</w:t>
      </w:r>
    </w:p>
    <w:p>
      <w:pP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附扫描件。</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Calibri" w:hAnsi="Calibri"/>
          <w:color w:val="auto"/>
          <w:sz w:val="28"/>
          <w:highlight w:val="none"/>
        </w:rPr>
      </w:pPr>
      <w:r>
        <w:rPr>
          <w:color w:val="auto"/>
          <w:kern w:val="0"/>
          <w:highlight w:val="none"/>
        </w:rPr>
        <w:br w:type="page"/>
      </w:r>
      <w:r>
        <w:rPr>
          <w:rFonts w:hint="eastAsia" w:ascii="黑体" w:hAnsi="黑体" w:eastAsia="黑体" w:cs="黑体"/>
          <w:color w:val="auto"/>
          <w:sz w:val="32"/>
          <w:szCs w:val="32"/>
          <w:highlight w:val="none"/>
        </w:rPr>
        <w:t>四、未被建设行政主管部门取消投标资格的情况说明</w:t>
      </w:r>
    </w:p>
    <w:p>
      <w:pPr>
        <w:jc w:val="left"/>
        <w:rPr>
          <w:rFonts w:ascii="宋体" w:hAnsi="宋体"/>
          <w:color w:val="auto"/>
          <w:szCs w:val="21"/>
          <w:highlight w:val="none"/>
        </w:rPr>
      </w:pPr>
    </w:p>
    <w:p>
      <w:pPr>
        <w:jc w:val="left"/>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color w:val="auto"/>
          <w:highlight w:val="none"/>
        </w:rPr>
      </w:pPr>
      <w:r>
        <w:rPr>
          <w:b w:val="0"/>
          <w:bCs w:val="0"/>
          <w:color w:val="auto"/>
          <w:kern w:val="0"/>
          <w:highlight w:val="none"/>
        </w:rPr>
        <w:br w:type="page"/>
      </w:r>
      <w:r>
        <w:rPr>
          <w:rFonts w:hint="eastAsia" w:ascii="黑体" w:hAnsi="黑体" w:eastAsia="黑体" w:cs="黑体"/>
          <w:color w:val="auto"/>
          <w:sz w:val="32"/>
          <w:szCs w:val="32"/>
          <w:highlight w:val="none"/>
        </w:rPr>
        <w:t>五、项目负责人资格</w:t>
      </w:r>
    </w:p>
    <w:p>
      <w:pPr>
        <w:spacing w:after="0" w:line="240" w:lineRule="auto"/>
        <w:ind w:firstLine="0" w:firstLineChars="0"/>
        <w:jc w:val="center"/>
        <w:rPr>
          <w:rFonts w:ascii="黑体" w:hAnsi="宋体" w:eastAsia="黑体" w:cs="Times New Roman"/>
          <w:color w:val="auto"/>
          <w:kern w:val="2"/>
          <w:sz w:val="24"/>
          <w:szCs w:val="24"/>
          <w:highlight w:val="none"/>
          <w:lang w:eastAsia="zh-CN"/>
        </w:rPr>
      </w:pPr>
      <w:r>
        <w:rPr>
          <w:rFonts w:hint="eastAsia" w:ascii="黑体" w:hAnsi="宋体" w:eastAsia="黑体" w:cs="Times New Roman"/>
          <w:color w:val="auto"/>
          <w:kern w:val="2"/>
          <w:sz w:val="24"/>
          <w:szCs w:val="24"/>
          <w:highlight w:val="none"/>
          <w:lang w:eastAsia="zh-CN"/>
        </w:rPr>
        <w:t>项目负责人简历表</w:t>
      </w:r>
    </w:p>
    <w:p>
      <w:pPr>
        <w:spacing w:after="0" w:line="42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项目负责人应附</w:t>
      </w:r>
      <w:r>
        <w:rPr>
          <w:rFonts w:hint="eastAsia" w:ascii="宋体" w:hAnsi="宋体" w:eastAsia="宋体" w:cs="Times New Roman"/>
          <w:color w:val="auto"/>
          <w:kern w:val="2"/>
          <w:sz w:val="21"/>
          <w:szCs w:val="21"/>
          <w:highlight w:val="none"/>
          <w:u w:val="single"/>
          <w:lang w:val="en-US" w:eastAsia="zh-CN"/>
        </w:rPr>
        <w:t xml:space="preserve">            （此处根据项目实际情况填写：建造师执业资格证书、注册证书、安全生产考核合格证书、身份证、职称证、学历证、养老保险等）</w:t>
      </w:r>
      <w:r>
        <w:rPr>
          <w:rFonts w:hint="eastAsia" w:ascii="宋体" w:hAnsi="宋体" w:eastAsia="宋体" w:cs="Times New Roman"/>
          <w:color w:val="auto"/>
          <w:kern w:val="2"/>
          <w:sz w:val="21"/>
          <w:szCs w:val="21"/>
          <w:highlight w:val="none"/>
          <w:lang w:eastAsia="zh-CN"/>
        </w:rPr>
        <w:t>及未担任其他在建建设工程项目项目负责人的承诺书，管理过的项目业绩须附合同协议书和竣工验收备案登记表扫描件。类似项目限于以项目负责人身份参与的项目。</w:t>
      </w:r>
    </w:p>
    <w:tbl>
      <w:tblPr>
        <w:tblStyle w:val="19"/>
        <w:tblW w:w="92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73"/>
        <w:gridCol w:w="1124"/>
        <w:gridCol w:w="1229"/>
        <w:gridCol w:w="1378"/>
        <w:gridCol w:w="1005"/>
        <w:gridCol w:w="988"/>
        <w:gridCol w:w="1155"/>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姓  名</w:t>
            </w:r>
          </w:p>
        </w:tc>
        <w:tc>
          <w:tcPr>
            <w:tcW w:w="1124"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年  龄</w:t>
            </w: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993"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学历</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  称</w:t>
            </w:r>
          </w:p>
        </w:tc>
        <w:tc>
          <w:tcPr>
            <w:tcW w:w="1124"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  务</w:t>
            </w: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993"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拟在本工程任职</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35"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注册建造师执业资格等级</w:t>
            </w: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 xml:space="preserve">      级</w:t>
            </w:r>
          </w:p>
        </w:tc>
        <w:tc>
          <w:tcPr>
            <w:tcW w:w="1993"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建造师专业</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35" w:type="dxa"/>
            <w:gridSpan w:val="4"/>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安全生产考核合格证书</w:t>
            </w: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993"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注册单位</w:t>
            </w:r>
          </w:p>
        </w:tc>
        <w:tc>
          <w:tcPr>
            <w:tcW w:w="2298"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82"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毕业学校</w:t>
            </w:r>
          </w:p>
        </w:tc>
        <w:tc>
          <w:tcPr>
            <w:tcW w:w="8022" w:type="dxa"/>
            <w:gridSpan w:val="7"/>
            <w:tcBorders>
              <w:top w:val="single" w:color="auto" w:sz="4" w:space="0"/>
              <w:left w:val="single" w:color="auto" w:sz="4" w:space="0"/>
              <w:bottom w:val="single" w:color="auto" w:sz="4" w:space="0"/>
              <w:right w:val="single" w:color="auto" w:sz="4" w:space="0"/>
            </w:tcBorders>
            <w:vAlign w:val="center"/>
          </w:tcPr>
          <w:p>
            <w:pPr>
              <w:spacing w:after="0" w:line="240" w:lineRule="auto"/>
              <w:ind w:firstLine="840" w:firstLineChars="4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204" w:type="dxa"/>
            <w:gridSpan w:val="9"/>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序号</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参加过的类似项目名称</w:t>
            </w:r>
          </w:p>
        </w:tc>
        <w:tc>
          <w:tcPr>
            <w:tcW w:w="1229" w:type="dxa"/>
            <w:tcBorders>
              <w:top w:val="single" w:color="auto" w:sz="4" w:space="0"/>
              <w:left w:val="single" w:color="auto" w:sz="4" w:space="0"/>
              <w:bottom w:val="single" w:color="auto" w:sz="4" w:space="0"/>
              <w:right w:val="single" w:color="auto" w:sz="4" w:space="0"/>
            </w:tcBorders>
            <w:vAlign w:val="center"/>
          </w:tcPr>
          <w:p>
            <w:pPr>
              <w:widowControl w:val="0"/>
              <w:adjustRightInd w:val="0"/>
              <w:spacing w:line="360" w:lineRule="auto"/>
              <w:ind w:firstLine="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项目地址</w:t>
            </w:r>
          </w:p>
        </w:tc>
        <w:tc>
          <w:tcPr>
            <w:tcW w:w="1378" w:type="dxa"/>
            <w:tcBorders>
              <w:top w:val="single" w:color="auto" w:sz="4" w:space="0"/>
              <w:left w:val="single" w:color="auto" w:sz="4" w:space="0"/>
              <w:bottom w:val="single" w:color="auto" w:sz="4" w:space="0"/>
              <w:right w:val="single" w:color="auto" w:sz="4" w:space="0"/>
            </w:tcBorders>
            <w:vAlign w:val="center"/>
          </w:tcPr>
          <w:p>
            <w:pPr>
              <w:widowControl w:val="0"/>
              <w:adjustRightInd w:val="0"/>
              <w:spacing w:line="360" w:lineRule="auto"/>
              <w:ind w:firstLine="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业主名称</w:t>
            </w:r>
          </w:p>
        </w:tc>
        <w:tc>
          <w:tcPr>
            <w:tcW w:w="1005" w:type="dxa"/>
            <w:tcBorders>
              <w:top w:val="single" w:color="auto" w:sz="4" w:space="0"/>
              <w:left w:val="single" w:color="auto" w:sz="4" w:space="0"/>
              <w:bottom w:val="single" w:color="auto" w:sz="4" w:space="0"/>
              <w:right w:val="single" w:color="auto" w:sz="4" w:space="0"/>
            </w:tcBorders>
            <w:vAlign w:val="center"/>
          </w:tcPr>
          <w:p>
            <w:pPr>
              <w:widowControl w:val="0"/>
              <w:adjustRightInd w:val="0"/>
              <w:spacing w:line="360" w:lineRule="auto"/>
              <w:ind w:firstLine="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联系人姓名及电话</w:t>
            </w:r>
          </w:p>
        </w:tc>
        <w:tc>
          <w:tcPr>
            <w:tcW w:w="988" w:type="dxa"/>
            <w:tcBorders>
              <w:top w:val="single" w:color="auto" w:sz="4" w:space="0"/>
              <w:left w:val="single" w:color="auto" w:sz="4" w:space="0"/>
              <w:bottom w:val="single" w:color="auto" w:sz="4" w:space="0"/>
              <w:right w:val="single" w:color="auto" w:sz="4" w:space="0"/>
            </w:tcBorders>
            <w:vAlign w:val="center"/>
          </w:tcPr>
          <w:p>
            <w:pPr>
              <w:widowControl w:val="0"/>
              <w:adjustRightInd w:val="0"/>
              <w:spacing w:line="360" w:lineRule="auto"/>
              <w:ind w:firstLine="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合同金额</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val="0"/>
              <w:adjustRightInd w:val="0"/>
              <w:spacing w:line="360" w:lineRule="auto"/>
              <w:ind w:firstLine="0"/>
              <w:jc w:val="center"/>
              <w:rPr>
                <w:rFonts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完成时间</w:t>
            </w: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在项目中担任何种职务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597" w:type="dxa"/>
            <w:gridSpan w:val="2"/>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229"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37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988"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55"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c>
          <w:tcPr>
            <w:tcW w:w="114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jc w:val="center"/>
              <w:rPr>
                <w:rFonts w:ascii="宋体" w:hAnsi="宋体" w:eastAsia="宋体" w:cs="Times New Roman"/>
                <w:color w:val="auto"/>
                <w:kern w:val="2"/>
                <w:sz w:val="21"/>
                <w:szCs w:val="21"/>
                <w:highlight w:val="none"/>
                <w:lang w:eastAsia="zh-CN"/>
              </w:rPr>
            </w:pPr>
          </w:p>
        </w:tc>
      </w:tr>
    </w:tbl>
    <w:p>
      <w:pPr>
        <w:autoSpaceDE w:val="0"/>
        <w:autoSpaceDN w:val="0"/>
        <w:adjustRightInd w:val="0"/>
        <w:spacing w:line="200" w:lineRule="exact"/>
        <w:jc w:val="left"/>
        <w:rPr>
          <w:rFonts w:ascii="Arial" w:hAnsi="Arial"/>
          <w:color w:val="auto"/>
          <w:kern w:val="0"/>
          <w:sz w:val="20"/>
          <w:highlight w:val="none"/>
        </w:rPr>
      </w:pPr>
    </w:p>
    <w:p>
      <w:pPr>
        <w:widowControl/>
        <w:jc w:val="left"/>
        <w:rPr>
          <w:rFonts w:ascii="黑体" w:hAnsi="宋体" w:eastAsia="黑体"/>
          <w:color w:val="auto"/>
          <w:sz w:val="28"/>
          <w:szCs w:val="28"/>
          <w:highlight w:val="none"/>
        </w:rPr>
      </w:pPr>
      <w:r>
        <w:rPr>
          <w:rFonts w:hint="eastAsia" w:ascii="黑体" w:hAnsi="宋体" w:eastAsia="黑体"/>
          <w:color w:val="auto"/>
          <w:kern w:val="0"/>
          <w:sz w:val="28"/>
          <w:szCs w:val="28"/>
          <w:highlight w:val="none"/>
        </w:rPr>
        <w:br w:type="page"/>
      </w:r>
    </w:p>
    <w:p>
      <w:pPr>
        <w:spacing w:after="0" w:line="240" w:lineRule="auto"/>
        <w:ind w:firstLine="0" w:firstLineChars="0"/>
        <w:jc w:val="center"/>
        <w:rPr>
          <w:rFonts w:ascii="黑体" w:hAnsi="宋体" w:eastAsia="黑体" w:cs="Times New Roman"/>
          <w:color w:val="auto"/>
          <w:kern w:val="2"/>
          <w:sz w:val="28"/>
          <w:szCs w:val="28"/>
          <w:highlight w:val="none"/>
          <w:lang w:eastAsia="zh-CN"/>
        </w:rPr>
      </w:pPr>
      <w:r>
        <w:rPr>
          <w:rFonts w:hint="eastAsia" w:ascii="黑体" w:hAnsi="宋体" w:eastAsia="黑体" w:cs="Times New Roman"/>
          <w:color w:val="auto"/>
          <w:kern w:val="2"/>
          <w:sz w:val="28"/>
          <w:szCs w:val="28"/>
          <w:highlight w:val="none"/>
          <w:lang w:eastAsia="zh-CN"/>
        </w:rPr>
        <w:t>承  诺  书</w:t>
      </w:r>
    </w:p>
    <w:p>
      <w:pPr>
        <w:spacing w:after="0" w:line="240" w:lineRule="auto"/>
        <w:ind w:firstLine="0" w:firstLineChars="0"/>
        <w:jc w:val="center"/>
        <w:rPr>
          <w:rFonts w:ascii="黑体" w:hAnsi="宋体" w:eastAsia="黑体" w:cs="Times New Roman"/>
          <w:color w:val="auto"/>
          <w:kern w:val="2"/>
          <w:sz w:val="28"/>
          <w:szCs w:val="28"/>
          <w:highlight w:val="none"/>
          <w:lang w:eastAsia="zh-CN"/>
        </w:rPr>
      </w:pPr>
    </w:p>
    <w:p>
      <w:pPr>
        <w:spacing w:after="312" w:afterLines="100" w:line="440" w:lineRule="exact"/>
        <w:ind w:firstLine="0" w:firstLineChars="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4"/>
          <w:highlight w:val="none"/>
          <w:u w:val="single"/>
          <w:lang w:eastAsia="zh-CN"/>
        </w:rPr>
        <w:t>________________________</w:t>
      </w:r>
      <w:r>
        <w:rPr>
          <w:rFonts w:hint="eastAsia" w:ascii="宋体" w:hAnsi="宋体" w:eastAsia="宋体" w:cs="Times New Roman"/>
          <w:color w:val="auto"/>
          <w:kern w:val="2"/>
          <w:sz w:val="21"/>
          <w:szCs w:val="21"/>
          <w:highlight w:val="none"/>
          <w:lang w:eastAsia="zh-CN"/>
        </w:rPr>
        <w:t>（招标人名称）：</w:t>
      </w:r>
    </w:p>
    <w:p>
      <w:pPr>
        <w:spacing w:after="0" w:line="44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我方在此声明，我方拟派往</w:t>
      </w:r>
      <w:r>
        <w:rPr>
          <w:rFonts w:hint="eastAsia" w:ascii="宋体" w:hAnsi="宋体" w:eastAsia="宋体" w:cs="Times New Roman"/>
          <w:color w:val="auto"/>
          <w:kern w:val="2"/>
          <w:sz w:val="21"/>
          <w:szCs w:val="24"/>
          <w:highlight w:val="none"/>
          <w:u w:val="single"/>
          <w:lang w:eastAsia="zh-CN"/>
        </w:rPr>
        <w:t>_____________________</w:t>
      </w:r>
      <w:r>
        <w:rPr>
          <w:rFonts w:hint="eastAsia" w:ascii="宋体" w:hAnsi="宋体" w:eastAsia="宋体" w:cs="Times New Roman"/>
          <w:color w:val="auto"/>
          <w:kern w:val="2"/>
          <w:sz w:val="21"/>
          <w:szCs w:val="21"/>
          <w:highlight w:val="none"/>
          <w:lang w:eastAsia="zh-CN"/>
        </w:rPr>
        <w:t>（项目名称）</w:t>
      </w:r>
      <w:r>
        <w:rPr>
          <w:rFonts w:hint="eastAsia" w:ascii="宋体" w:hAnsi="宋体" w:eastAsia="宋体" w:cs="Times New Roman"/>
          <w:color w:val="auto"/>
          <w:kern w:val="2"/>
          <w:sz w:val="21"/>
          <w:szCs w:val="24"/>
          <w:highlight w:val="none"/>
          <w:u w:val="single"/>
          <w:lang w:eastAsia="zh-CN"/>
        </w:rPr>
        <w:t>______</w:t>
      </w:r>
      <w:r>
        <w:rPr>
          <w:rFonts w:hint="eastAsia" w:ascii="宋体" w:hAnsi="宋体" w:eastAsia="宋体" w:cs="Times New Roman"/>
          <w:color w:val="auto"/>
          <w:kern w:val="2"/>
          <w:sz w:val="21"/>
          <w:szCs w:val="21"/>
          <w:highlight w:val="none"/>
          <w:lang w:eastAsia="zh-CN"/>
        </w:rPr>
        <w:t>标段（以下简称“本工程”）的项目负责人</w:t>
      </w:r>
      <w:r>
        <w:rPr>
          <w:rFonts w:hint="eastAsia" w:ascii="宋体" w:hAnsi="宋体" w:eastAsia="宋体" w:cs="Times New Roman"/>
          <w:color w:val="auto"/>
          <w:kern w:val="2"/>
          <w:sz w:val="21"/>
          <w:szCs w:val="24"/>
          <w:highlight w:val="none"/>
          <w:u w:val="single"/>
          <w:lang w:eastAsia="zh-CN"/>
        </w:rPr>
        <w:t>_________</w:t>
      </w:r>
      <w:r>
        <w:rPr>
          <w:rFonts w:hint="eastAsia" w:ascii="宋体" w:hAnsi="宋体" w:eastAsia="宋体" w:cs="Times New Roman"/>
          <w:color w:val="auto"/>
          <w:kern w:val="2"/>
          <w:sz w:val="21"/>
          <w:szCs w:val="21"/>
          <w:highlight w:val="none"/>
          <w:lang w:eastAsia="zh-CN"/>
        </w:rPr>
        <w:t>（项目负责人姓名）现阶段没有担任任何在建建设工程项目的项目负责人。</w:t>
      </w:r>
    </w:p>
    <w:p>
      <w:pPr>
        <w:spacing w:after="0" w:line="44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我方保证上述信息的真实和准确，并愿意承担因我方就此弄虚作假所引起的一切法律后果。</w:t>
      </w:r>
    </w:p>
    <w:p>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pPr>
        <w:spacing w:after="0" w:line="440" w:lineRule="exact"/>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特此承诺</w:t>
      </w:r>
    </w:p>
    <w:p>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pPr>
        <w:spacing w:after="0" w:line="440" w:lineRule="exact"/>
        <w:ind w:firstLine="420" w:firstLineChars="200"/>
        <w:jc w:val="left"/>
        <w:rPr>
          <w:rFonts w:ascii="宋体" w:hAnsi="宋体" w:eastAsia="宋体" w:cs="Times New Roman"/>
          <w:color w:val="auto"/>
          <w:kern w:val="2"/>
          <w:sz w:val="21"/>
          <w:szCs w:val="21"/>
          <w:highlight w:val="none"/>
          <w:lang w:eastAsia="zh-CN"/>
        </w:rPr>
      </w:pPr>
    </w:p>
    <w:p>
      <w:pPr>
        <w:spacing w:after="0" w:line="440" w:lineRule="exact"/>
        <w:ind w:firstLine="0" w:firstLineChars="0"/>
        <w:jc w:val="righ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w:t>
      </w:r>
      <w:r>
        <w:rPr>
          <w:rFonts w:hint="eastAsia" w:ascii="宋体" w:hAnsi="宋体" w:eastAsia="宋体" w:cs="Times New Roman"/>
          <w:color w:val="auto"/>
          <w:kern w:val="2"/>
          <w:sz w:val="21"/>
          <w:szCs w:val="24"/>
          <w:highlight w:val="none"/>
          <w:u w:val="single"/>
          <w:lang w:eastAsia="zh-CN"/>
        </w:rPr>
        <w:t>______________________________</w:t>
      </w:r>
      <w:r>
        <w:rPr>
          <w:rFonts w:hint="eastAsia" w:ascii="宋体" w:hAnsi="宋体" w:eastAsia="宋体" w:cs="Times New Roman"/>
          <w:color w:val="auto"/>
          <w:kern w:val="2"/>
          <w:sz w:val="21"/>
          <w:szCs w:val="21"/>
          <w:highlight w:val="none"/>
          <w:lang w:eastAsia="zh-CN"/>
        </w:rPr>
        <w:t>（电子签章）</w:t>
      </w:r>
    </w:p>
    <w:p>
      <w:pPr>
        <w:spacing w:after="0" w:line="440" w:lineRule="exact"/>
        <w:ind w:firstLine="0" w:firstLineChars="0"/>
        <w:jc w:val="righ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法定代表人：</w:t>
      </w:r>
      <w:r>
        <w:rPr>
          <w:rFonts w:hint="eastAsia" w:ascii="宋体" w:hAnsi="宋体" w:eastAsia="宋体" w:cs="Times New Roman"/>
          <w:color w:val="auto"/>
          <w:kern w:val="2"/>
          <w:sz w:val="21"/>
          <w:szCs w:val="24"/>
          <w:highlight w:val="none"/>
          <w:u w:val="single"/>
          <w:lang w:eastAsia="zh-CN"/>
        </w:rPr>
        <w:t>____________</w:t>
      </w:r>
      <w:r>
        <w:rPr>
          <w:rFonts w:hint="eastAsia" w:ascii="宋体" w:hAnsi="宋体" w:eastAsia="宋体" w:cs="Times New Roman"/>
          <w:color w:val="auto"/>
          <w:kern w:val="2"/>
          <w:sz w:val="21"/>
          <w:szCs w:val="21"/>
          <w:highlight w:val="none"/>
          <w:lang w:eastAsia="zh-CN"/>
        </w:rPr>
        <w:t>（电子签章）</w:t>
      </w:r>
    </w:p>
    <w:p>
      <w:pPr>
        <w:spacing w:after="0" w:line="440" w:lineRule="exact"/>
        <w:ind w:firstLine="0" w:firstLineChars="0"/>
        <w:jc w:val="right"/>
        <w:rPr>
          <w:rFonts w:ascii="宋体" w:hAnsi="宋体" w:eastAsia="宋体" w:cs="Times New Roman"/>
          <w:color w:val="auto"/>
          <w:kern w:val="2"/>
          <w:sz w:val="21"/>
          <w:szCs w:val="21"/>
          <w:highlight w:val="none"/>
          <w:lang w:eastAsia="zh-CN"/>
        </w:rPr>
      </w:pPr>
    </w:p>
    <w:p>
      <w:pPr>
        <w:spacing w:after="0" w:line="440" w:lineRule="exact"/>
        <w:ind w:firstLine="0" w:firstLineChars="0"/>
        <w:jc w:val="righ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4"/>
          <w:highlight w:val="none"/>
          <w:u w:val="single"/>
          <w:lang w:eastAsia="zh-CN"/>
        </w:rPr>
        <w:t>_________</w:t>
      </w:r>
      <w:r>
        <w:rPr>
          <w:rFonts w:hint="eastAsia" w:ascii="宋体" w:hAnsi="宋体" w:eastAsia="宋体" w:cs="Times New Roman"/>
          <w:color w:val="auto"/>
          <w:kern w:val="2"/>
          <w:sz w:val="21"/>
          <w:szCs w:val="21"/>
          <w:highlight w:val="none"/>
          <w:lang w:eastAsia="zh-CN"/>
        </w:rPr>
        <w:t>年</w:t>
      </w:r>
      <w:r>
        <w:rPr>
          <w:rFonts w:hint="eastAsia" w:ascii="宋体" w:hAnsi="宋体" w:eastAsia="宋体" w:cs="Times New Roman"/>
          <w:color w:val="auto"/>
          <w:kern w:val="2"/>
          <w:sz w:val="21"/>
          <w:szCs w:val="24"/>
          <w:highlight w:val="none"/>
          <w:u w:val="single"/>
          <w:lang w:eastAsia="zh-CN"/>
        </w:rPr>
        <w:t>______</w:t>
      </w:r>
      <w:r>
        <w:rPr>
          <w:rFonts w:hint="eastAsia" w:ascii="宋体" w:hAnsi="宋体" w:eastAsia="宋体" w:cs="Times New Roman"/>
          <w:color w:val="auto"/>
          <w:kern w:val="2"/>
          <w:sz w:val="21"/>
          <w:szCs w:val="21"/>
          <w:highlight w:val="none"/>
          <w:lang w:eastAsia="zh-CN"/>
        </w:rPr>
        <w:t>月</w:t>
      </w:r>
      <w:r>
        <w:rPr>
          <w:rFonts w:hint="eastAsia" w:ascii="宋体" w:hAnsi="宋体" w:eastAsia="宋体" w:cs="Times New Roman"/>
          <w:color w:val="auto"/>
          <w:kern w:val="2"/>
          <w:sz w:val="21"/>
          <w:szCs w:val="24"/>
          <w:highlight w:val="none"/>
          <w:u w:val="single"/>
          <w:lang w:eastAsia="zh-CN"/>
        </w:rPr>
        <w:t>______</w:t>
      </w:r>
      <w:r>
        <w:rPr>
          <w:rFonts w:hint="eastAsia" w:ascii="宋体" w:hAnsi="宋体" w:eastAsia="宋体" w:cs="Times New Roman"/>
          <w:color w:val="auto"/>
          <w:kern w:val="2"/>
          <w:sz w:val="21"/>
          <w:szCs w:val="21"/>
          <w:highlight w:val="none"/>
          <w:lang w:eastAsia="zh-CN"/>
        </w:rPr>
        <w:t>日</w:t>
      </w:r>
    </w:p>
    <w:p>
      <w:pPr>
        <w:rPr>
          <w:rFonts w:hint="eastAsia"/>
          <w:color w:val="auto"/>
          <w:highlight w:val="none"/>
        </w:rPr>
      </w:pPr>
      <w:r>
        <w:rPr>
          <w:rFonts w:hint="eastAsia"/>
          <w:color w:val="auto"/>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lang w:val="en-US" w:eastAsia="en-US"/>
        </w:rPr>
      </w:pPr>
      <w:r>
        <w:rPr>
          <w:rFonts w:hint="eastAsia" w:ascii="黑体" w:hAnsi="黑体" w:eastAsia="黑体" w:cs="黑体"/>
          <w:color w:val="auto"/>
          <w:sz w:val="32"/>
          <w:szCs w:val="32"/>
          <w:highlight w:val="none"/>
          <w:lang w:val="en-US" w:eastAsia="en-US"/>
        </w:rPr>
        <w:t>六、技术负责人</w:t>
      </w:r>
    </w:p>
    <w:p>
      <w:pPr>
        <w:spacing w:after="0" w:line="240" w:lineRule="auto"/>
        <w:ind w:firstLine="0" w:firstLineChars="0"/>
        <w:jc w:val="center"/>
        <w:rPr>
          <w:rFonts w:ascii="Times New Roman" w:hAnsi="Times New Roman" w:eastAsia="宋体" w:cs="Times New Roman"/>
          <w:b/>
          <w:color w:val="auto"/>
          <w:kern w:val="2"/>
          <w:sz w:val="21"/>
          <w:szCs w:val="21"/>
          <w:highlight w:val="none"/>
          <w:lang w:eastAsia="zh-CN"/>
        </w:rPr>
      </w:pPr>
      <w:r>
        <w:rPr>
          <w:rFonts w:hint="eastAsia" w:ascii="Times New Roman" w:hAnsi="Times New Roman" w:eastAsia="宋体" w:cs="Times New Roman"/>
          <w:b/>
          <w:color w:val="auto"/>
          <w:kern w:val="2"/>
          <w:sz w:val="21"/>
          <w:szCs w:val="21"/>
          <w:highlight w:val="none"/>
          <w:lang w:eastAsia="zh-CN"/>
        </w:rPr>
        <w:t>技术负责人简历表</w:t>
      </w:r>
    </w:p>
    <w:tbl>
      <w:tblPr>
        <w:tblStyle w:val="19"/>
        <w:tblW w:w="9120" w:type="dxa"/>
        <w:jc w:val="center"/>
        <w:tblLayout w:type="fixed"/>
        <w:tblCellMar>
          <w:top w:w="0" w:type="dxa"/>
          <w:left w:w="0" w:type="dxa"/>
          <w:bottom w:w="0" w:type="dxa"/>
          <w:right w:w="0" w:type="dxa"/>
        </w:tblCellMar>
      </w:tblPr>
      <w:tblGrid>
        <w:gridCol w:w="1560"/>
        <w:gridCol w:w="720"/>
        <w:gridCol w:w="600"/>
        <w:gridCol w:w="900"/>
        <w:gridCol w:w="300"/>
        <w:gridCol w:w="1048"/>
        <w:gridCol w:w="1532"/>
        <w:gridCol w:w="169"/>
        <w:gridCol w:w="731"/>
        <w:gridCol w:w="360"/>
        <w:gridCol w:w="1200"/>
      </w:tblGrid>
      <w:tr>
        <w:tblPrEx>
          <w:tblCellMar>
            <w:top w:w="0" w:type="dxa"/>
            <w:left w:w="0" w:type="dxa"/>
            <w:bottom w:w="0" w:type="dxa"/>
            <w:right w:w="0" w:type="dxa"/>
          </w:tblCellMar>
        </w:tblPrEx>
        <w:trPr>
          <w:jc w:val="center"/>
        </w:trPr>
        <w:tc>
          <w:tcPr>
            <w:tcW w:w="1560" w:type="dxa"/>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姓名</w:t>
            </w:r>
          </w:p>
        </w:tc>
        <w:tc>
          <w:tcPr>
            <w:tcW w:w="2520" w:type="dxa"/>
            <w:gridSpan w:val="4"/>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048" w:type="dxa"/>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性别</w:t>
            </w:r>
          </w:p>
        </w:tc>
        <w:tc>
          <w:tcPr>
            <w:tcW w:w="1532" w:type="dxa"/>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年龄</w:t>
            </w:r>
          </w:p>
        </w:tc>
        <w:tc>
          <w:tcPr>
            <w:tcW w:w="156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1560" w:type="dxa"/>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职务</w:t>
            </w:r>
          </w:p>
        </w:tc>
        <w:tc>
          <w:tcPr>
            <w:tcW w:w="2520" w:type="dxa"/>
            <w:gridSpan w:val="4"/>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048" w:type="dxa"/>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职称</w:t>
            </w:r>
          </w:p>
        </w:tc>
        <w:tc>
          <w:tcPr>
            <w:tcW w:w="1532" w:type="dxa"/>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9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学历</w:t>
            </w:r>
          </w:p>
        </w:tc>
        <w:tc>
          <w:tcPr>
            <w:tcW w:w="156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880"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参加工作时间</w:t>
            </w:r>
          </w:p>
        </w:tc>
        <w:tc>
          <w:tcPr>
            <w:tcW w:w="2248"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792" w:type="dxa"/>
            <w:gridSpan w:val="4"/>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担任技术负责人年限</w:t>
            </w:r>
          </w:p>
        </w:tc>
        <w:tc>
          <w:tcPr>
            <w:tcW w:w="1200" w:type="dxa"/>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rPr>
          <w:jc w:val="center"/>
        </w:trPr>
        <w:tc>
          <w:tcPr>
            <w:tcW w:w="9120" w:type="dxa"/>
            <w:gridSpan w:val="11"/>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已完工程项目情况</w:t>
            </w: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建设单位</w:t>
            </w: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项目名称</w:t>
            </w: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建设规模</w:t>
            </w: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开、竣工日期</w:t>
            </w: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0" w:firstLineChars="0"/>
              <w:jc w:val="center"/>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工程质量</w:t>
            </w: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blPrEx>
          <w:tblCellMar>
            <w:top w:w="0" w:type="dxa"/>
            <w:left w:w="0" w:type="dxa"/>
            <w:bottom w:w="0" w:type="dxa"/>
            <w:right w:w="0" w:type="dxa"/>
          </w:tblCellMar>
        </w:tblPrEx>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r>
        <w:trPr>
          <w:jc w:val="center"/>
        </w:trPr>
        <w:tc>
          <w:tcPr>
            <w:tcW w:w="228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500"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348"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c>
          <w:tcPr>
            <w:tcW w:w="2291" w:type="dxa"/>
            <w:gridSpan w:val="3"/>
            <w:tcBorders>
              <w:top w:val="single" w:color="auto" w:sz="6" w:space="0"/>
              <w:left w:val="single" w:color="auto" w:sz="6" w:space="0"/>
              <w:bottom w:val="single" w:color="auto" w:sz="6" w:space="0"/>
              <w:right w:val="single" w:color="auto" w:sz="6" w:space="0"/>
            </w:tcBorders>
            <w:vAlign w:val="center"/>
          </w:tcPr>
          <w:p>
            <w:pPr>
              <w:spacing w:after="0" w:line="420" w:lineRule="exact"/>
              <w:ind w:firstLine="420" w:firstLineChars="200"/>
              <w:jc w:val="center"/>
              <w:rPr>
                <w:rFonts w:ascii="宋体" w:hAnsi="宋体" w:eastAsia="宋体" w:cs="Times New Roman"/>
                <w:color w:val="auto"/>
                <w:kern w:val="2"/>
                <w:sz w:val="21"/>
                <w:szCs w:val="21"/>
                <w:highlight w:val="none"/>
                <w:lang w:eastAsia="zh-CN"/>
              </w:rPr>
            </w:pPr>
          </w:p>
        </w:tc>
      </w:tr>
    </w:tbl>
    <w:p>
      <w:pPr>
        <w:spacing w:after="0" w:line="360" w:lineRule="auto"/>
        <w:ind w:firstLine="210" w:firstLineChars="1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说明：项目技术负责人应附</w:t>
      </w:r>
      <w:r>
        <w:rPr>
          <w:rFonts w:hint="eastAsia" w:ascii="宋体" w:hAnsi="宋体" w:eastAsia="宋体" w:cs="Times New Roman"/>
          <w:color w:val="auto"/>
          <w:kern w:val="2"/>
          <w:sz w:val="21"/>
          <w:szCs w:val="21"/>
          <w:highlight w:val="none"/>
          <w:u w:val="single"/>
          <w:lang w:val="en-US" w:eastAsia="zh-CN"/>
        </w:rPr>
        <w:t xml:space="preserve">                </w:t>
      </w:r>
      <w:r>
        <w:rPr>
          <w:rFonts w:hint="eastAsia" w:ascii="宋体" w:hAnsi="宋体" w:eastAsia="宋体" w:cs="Times New Roman"/>
          <w:color w:val="auto"/>
          <w:kern w:val="2"/>
          <w:sz w:val="21"/>
          <w:szCs w:val="21"/>
          <w:highlight w:val="none"/>
          <w:lang w:eastAsia="zh-CN"/>
        </w:rPr>
        <w:t>等扫描件。</w:t>
      </w:r>
    </w:p>
    <w:p>
      <w:pPr>
        <w:spacing w:after="0" w:line="360" w:lineRule="auto"/>
        <w:ind w:firstLine="210" w:firstLineChars="100"/>
        <w:rPr>
          <w:rFonts w:ascii="宋体" w:hAnsi="宋体" w:eastAsia="宋体" w:cs="Times New Roman"/>
          <w:color w:val="auto"/>
          <w:kern w:val="2"/>
          <w:sz w:val="21"/>
          <w:szCs w:val="21"/>
          <w:highlight w:val="none"/>
          <w:lang w:eastAsia="zh-CN"/>
        </w:rPr>
      </w:pPr>
    </w:p>
    <w:p>
      <w:pPr>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投标人：</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ab/>
      </w:r>
      <w:r>
        <w:rPr>
          <w:rFonts w:hint="eastAsia" w:ascii="宋体" w:hAnsi="宋体" w:eastAsia="宋体" w:cs="Times New Roman"/>
          <w:color w:val="auto"/>
          <w:kern w:val="2"/>
          <w:sz w:val="21"/>
          <w:szCs w:val="21"/>
          <w:highlight w:val="none"/>
          <w:u w:val="single"/>
          <w:lang w:eastAsia="zh-CN"/>
        </w:rPr>
        <w:t xml:space="preserve">      （电子签章）</w:t>
      </w:r>
      <w:r>
        <w:rPr>
          <w:rFonts w:hint="eastAsia" w:ascii="宋体" w:hAnsi="宋体" w:eastAsia="宋体" w:cs="Times New Roman"/>
          <w:color w:val="auto"/>
          <w:kern w:val="2"/>
          <w:sz w:val="21"/>
          <w:szCs w:val="21"/>
          <w:highlight w:val="none"/>
          <w:u w:val="single"/>
          <w:lang w:eastAsia="zh-CN"/>
        </w:rPr>
        <w:tab/>
      </w:r>
    </w:p>
    <w:p>
      <w:pPr>
        <w:spacing w:after="0" w:line="360" w:lineRule="auto"/>
        <w:ind w:firstLine="420" w:firstLineChars="200"/>
        <w:rPr>
          <w:rFonts w:ascii="宋体" w:hAnsi="宋体"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法定代表人或其委托代理人：</w:t>
      </w:r>
      <w:r>
        <w:rPr>
          <w:rFonts w:ascii="Times New Roman" w:hAnsi="Times New Roman" w:eastAsia="宋体" w:cs="Times New Roman"/>
          <w:color w:val="auto"/>
          <w:kern w:val="2"/>
          <w:sz w:val="21"/>
          <w:szCs w:val="21"/>
          <w:highlight w:val="none"/>
          <w:u w:val="single"/>
          <w:lang w:eastAsia="zh-CN"/>
        </w:rPr>
        <w:t xml:space="preserve">         </w:t>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ascii="Times New Roman" w:hAnsi="Times New Roman" w:eastAsia="宋体" w:cs="Times New Roman"/>
          <w:color w:val="auto"/>
          <w:kern w:val="2"/>
          <w:sz w:val="21"/>
          <w:szCs w:val="21"/>
          <w:highlight w:val="none"/>
          <w:u w:val="single"/>
          <w:lang w:eastAsia="zh-CN"/>
        </w:rPr>
        <w:tab/>
      </w:r>
      <w:r>
        <w:rPr>
          <w:rFonts w:hint="eastAsia" w:ascii="Times New Roman" w:hAnsi="Times New Roman" w:eastAsia="宋体" w:cs="Times New Roman"/>
          <w:color w:val="auto"/>
          <w:kern w:val="2"/>
          <w:sz w:val="21"/>
          <w:szCs w:val="21"/>
          <w:highlight w:val="none"/>
          <w:lang w:eastAsia="zh-CN"/>
        </w:rPr>
        <w:t>（电子签章）</w:t>
      </w:r>
    </w:p>
    <w:p>
      <w:pPr>
        <w:spacing w:after="0" w:line="360" w:lineRule="auto"/>
        <w:ind w:firstLine="420" w:firstLineChars="200"/>
        <w:jc w:val="left"/>
        <w:rPr>
          <w:rFonts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 xml:space="preserve">年 </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月</w:t>
      </w:r>
      <w:r>
        <w:rPr>
          <w:rFonts w:hint="eastAsia" w:ascii="宋体" w:hAnsi="宋体" w:eastAsia="宋体" w:cs="Times New Roman"/>
          <w:color w:val="auto"/>
          <w:kern w:val="2"/>
          <w:sz w:val="21"/>
          <w:szCs w:val="21"/>
          <w:highlight w:val="none"/>
          <w:u w:val="single"/>
          <w:lang w:eastAsia="zh-CN"/>
        </w:rPr>
        <w:t xml:space="preserve">    </w:t>
      </w:r>
      <w:r>
        <w:rPr>
          <w:rFonts w:hint="eastAsia" w:ascii="宋体" w:hAnsi="宋体" w:eastAsia="宋体" w:cs="Times New Roman"/>
          <w:color w:val="auto"/>
          <w:kern w:val="2"/>
          <w:sz w:val="21"/>
          <w:szCs w:val="21"/>
          <w:highlight w:val="none"/>
          <w:lang w:eastAsia="zh-CN"/>
        </w:rPr>
        <w:t>日</w:t>
      </w:r>
    </w:p>
    <w:p>
      <w:pPr>
        <w:spacing w:line="360" w:lineRule="auto"/>
        <w:ind w:firstLine="640" w:firstLineChars="200"/>
        <w:jc w:val="left"/>
        <w:rPr>
          <w:rFonts w:ascii="宋体" w:hAnsi="宋体"/>
          <w:color w:val="auto"/>
          <w:szCs w:val="21"/>
          <w:highlight w:val="none"/>
        </w:rPr>
      </w:pPr>
    </w:p>
    <w:p>
      <w:pPr>
        <w:spacing w:line="360" w:lineRule="auto"/>
        <w:ind w:firstLine="640" w:firstLineChars="200"/>
        <w:jc w:val="left"/>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color w:val="auto"/>
          <w:highlight w:val="none"/>
        </w:rPr>
      </w:pPr>
      <w:r>
        <w:rPr>
          <w:rFonts w:hint="eastAsia" w:ascii="宋体" w:hAnsi="宋体"/>
          <w:b w:val="0"/>
          <w:bCs w:val="0"/>
          <w:color w:val="auto"/>
          <w:kern w:val="0"/>
          <w:szCs w:val="21"/>
          <w:highlight w:val="none"/>
        </w:rPr>
        <w:br w:type="page"/>
      </w:r>
      <w:r>
        <w:rPr>
          <w:rFonts w:hint="eastAsia" w:ascii="黑体" w:hAnsi="黑体" w:eastAsia="黑体" w:cs="黑体"/>
          <w:color w:val="auto"/>
          <w:sz w:val="32"/>
          <w:szCs w:val="32"/>
          <w:highlight w:val="none"/>
          <w:lang w:val="en-US" w:eastAsia="en-US"/>
        </w:rPr>
        <w:t>七、财务要求</w:t>
      </w:r>
    </w:p>
    <w:p>
      <w:pPr>
        <w:spacing w:line="360" w:lineRule="auto"/>
        <w:ind w:left="0" w:leftChars="0" w:firstLine="0" w:firstLineChars="0"/>
        <w:jc w:val="both"/>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对财务状况的要求见“投标人须知”</w:t>
      </w:r>
      <w:r>
        <w:rPr>
          <w:rFonts w:hint="eastAsia" w:ascii="宋体" w:hAnsi="宋体" w:eastAsia="宋体" w:cs="宋体"/>
          <w:color w:val="auto"/>
          <w:sz w:val="24"/>
          <w:szCs w:val="18"/>
          <w:highlight w:val="none"/>
          <w:lang w:val="en-US" w:eastAsia="zh-CN"/>
        </w:rPr>
        <w:t>1.4.1</w:t>
      </w:r>
      <w:r>
        <w:rPr>
          <w:rFonts w:hint="eastAsia" w:ascii="宋体" w:hAnsi="宋体" w:eastAsia="宋体" w:cs="宋体"/>
          <w:color w:val="auto"/>
          <w:sz w:val="24"/>
          <w:szCs w:val="18"/>
          <w:highlight w:val="none"/>
        </w:rPr>
        <w:t>项规定。</w:t>
      </w:r>
    </w:p>
    <w:p>
      <w:pPr>
        <w:rPr>
          <w:color w:val="auto"/>
          <w:highlight w:val="none"/>
          <w:u w:val="single"/>
        </w:rPr>
      </w:pPr>
    </w:p>
    <w:p>
      <w:pPr>
        <w:rPr>
          <w:color w:val="auto"/>
          <w:highlight w:val="none"/>
          <w:u w:val="single"/>
          <w:lang w:val="zh-CN"/>
        </w:rPr>
      </w:pPr>
    </w:p>
    <w:p>
      <w:pPr>
        <w:spacing w:line="360" w:lineRule="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color w:val="auto"/>
          <w:highlight w:val="none"/>
        </w:rPr>
      </w:pPr>
      <w:r>
        <w:rPr>
          <w:b w:val="0"/>
          <w:bCs w:val="0"/>
          <w:color w:val="auto"/>
          <w:kern w:val="0"/>
          <w:highlight w:val="none"/>
        </w:rPr>
        <w:br w:type="page"/>
      </w:r>
      <w:r>
        <w:rPr>
          <w:rFonts w:hint="eastAsia" w:ascii="黑体" w:hAnsi="黑体" w:eastAsia="黑体" w:cs="黑体"/>
          <w:color w:val="auto"/>
          <w:sz w:val="32"/>
          <w:szCs w:val="32"/>
          <w:highlight w:val="none"/>
          <w:lang w:val="en-US" w:eastAsia="en-US"/>
        </w:rPr>
        <w:t>八、企业业绩要求</w:t>
      </w:r>
    </w:p>
    <w:p>
      <w:pPr>
        <w:widowControl/>
        <w:ind w:firstLine="480" w:firstLineChars="200"/>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eastAsia="zh-CN"/>
        </w:rPr>
        <w:sym w:font="Wingdings 2" w:char="00A3"/>
      </w:r>
      <w:r>
        <w:rPr>
          <w:rFonts w:hint="eastAsia" w:ascii="宋体" w:hAnsi="宋体" w:eastAsia="宋体" w:cs="宋体"/>
          <w:color w:val="auto"/>
          <w:sz w:val="24"/>
          <w:szCs w:val="18"/>
          <w:highlight w:val="none"/>
          <w:lang w:val="en-US" w:eastAsia="zh-CN"/>
        </w:rPr>
        <w:t>是</w:t>
      </w:r>
      <w:r>
        <w:rPr>
          <w:rFonts w:hint="eastAsia" w:ascii="宋体" w:hAnsi="宋体" w:eastAsia="宋体" w:cs="宋体"/>
          <w:color w:val="auto"/>
          <w:sz w:val="24"/>
          <w:szCs w:val="18"/>
          <w:highlight w:val="none"/>
          <w:lang w:val="en-US" w:eastAsia="zh-CN"/>
        </w:rPr>
        <w:sym w:font="Wingdings 2" w:char="00A3"/>
      </w:r>
      <w:r>
        <w:rPr>
          <w:rFonts w:hint="eastAsia" w:ascii="宋体" w:hAnsi="宋体" w:eastAsia="宋体" w:cs="宋体"/>
          <w:color w:val="auto"/>
          <w:sz w:val="24"/>
          <w:szCs w:val="18"/>
          <w:highlight w:val="none"/>
          <w:lang w:val="en-US" w:eastAsia="zh-CN"/>
        </w:rPr>
        <w:t>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要求企业业绩。</w:t>
      </w:r>
    </w:p>
    <w:p>
      <w:pPr>
        <w:rPr>
          <w:rFonts w:hint="default"/>
          <w:color w:val="auto"/>
          <w:highlight w:val="none"/>
          <w:u w:val="none"/>
          <w:lang w:val="en-US" w:eastAsia="zh-CN"/>
        </w:rPr>
      </w:pPr>
      <w:r>
        <w:rPr>
          <w:rFonts w:hint="eastAsia" w:ascii="宋体" w:hAnsi="宋体" w:eastAsia="宋体" w:cs="宋体"/>
          <w:color w:val="auto"/>
          <w:sz w:val="24"/>
          <w:szCs w:val="18"/>
          <w:highlight w:val="none"/>
          <w:lang w:val="en-US" w:eastAsia="zh-CN"/>
        </w:rPr>
        <w:t>2、业绩证明材料需提供：</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18"/>
          <w:highlight w:val="none"/>
          <w:u w:val="none"/>
          <w:lang w:val="en-US" w:eastAsia="zh-CN"/>
        </w:rPr>
        <w:t>。</w:t>
      </w:r>
    </w:p>
    <w:p>
      <w:pPr>
        <w:widowControl/>
        <w:ind w:firstLine="640" w:firstLineChars="200"/>
        <w:jc w:val="left"/>
        <w:rPr>
          <w:rFonts w:ascii="宋体" w:hAnsi="宋体"/>
          <w:color w:val="auto"/>
          <w:szCs w:val="21"/>
          <w:highlight w:val="none"/>
        </w:rPr>
      </w:pPr>
    </w:p>
    <w:p>
      <w:pPr>
        <w:widowControl/>
        <w:ind w:firstLine="640" w:firstLineChars="200"/>
        <w:jc w:val="left"/>
        <w:rPr>
          <w:rFonts w:ascii="宋体" w:hAnsi="宋体"/>
          <w:color w:val="auto"/>
          <w:szCs w:val="21"/>
          <w:highlight w:val="none"/>
        </w:rPr>
      </w:pPr>
    </w:p>
    <w:p>
      <w:pPr>
        <w:widowControl/>
        <w:jc w:val="left"/>
        <w:rPr>
          <w:b/>
          <w:bCs/>
          <w:color w:val="auto"/>
          <w:sz w:val="32"/>
          <w:szCs w:val="32"/>
          <w:highlight w:val="none"/>
        </w:rPr>
      </w:pPr>
      <w:r>
        <w:rPr>
          <w:color w:val="auto"/>
          <w:kern w:val="0"/>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lang w:val="en-US" w:eastAsia="en-US"/>
        </w:rPr>
      </w:pPr>
      <w:r>
        <w:rPr>
          <w:rFonts w:hint="eastAsia" w:ascii="黑体" w:hAnsi="黑体" w:eastAsia="黑体" w:cs="黑体"/>
          <w:color w:val="auto"/>
          <w:sz w:val="32"/>
          <w:szCs w:val="32"/>
          <w:highlight w:val="none"/>
          <w:lang w:val="en-US" w:eastAsia="en-US"/>
        </w:rPr>
        <w:t>九、项目负责人业绩要求</w:t>
      </w:r>
    </w:p>
    <w:p>
      <w:pPr>
        <w:widowControl/>
        <w:ind w:firstLine="480" w:firstLineChars="200"/>
        <w:jc w:val="left"/>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1、</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eastAsia="zh-CN"/>
        </w:rPr>
        <w:sym w:font="Wingdings 2" w:char="00A3"/>
      </w:r>
      <w:r>
        <w:rPr>
          <w:rFonts w:hint="eastAsia" w:ascii="宋体" w:hAnsi="宋体" w:eastAsia="宋体" w:cs="宋体"/>
          <w:color w:val="auto"/>
          <w:sz w:val="24"/>
          <w:szCs w:val="18"/>
          <w:highlight w:val="none"/>
          <w:lang w:val="en-US" w:eastAsia="zh-CN"/>
        </w:rPr>
        <w:t>是</w:t>
      </w:r>
      <w:r>
        <w:rPr>
          <w:rFonts w:hint="eastAsia" w:ascii="宋体" w:hAnsi="宋体" w:eastAsia="宋体" w:cs="宋体"/>
          <w:color w:val="auto"/>
          <w:sz w:val="24"/>
          <w:szCs w:val="18"/>
          <w:highlight w:val="none"/>
          <w:lang w:val="en-US" w:eastAsia="zh-CN"/>
        </w:rPr>
        <w:sym w:font="Wingdings 2" w:char="00A3"/>
      </w:r>
      <w:r>
        <w:rPr>
          <w:rFonts w:hint="eastAsia" w:ascii="宋体" w:hAnsi="宋体" w:eastAsia="宋体" w:cs="宋体"/>
          <w:color w:val="auto"/>
          <w:sz w:val="24"/>
          <w:szCs w:val="18"/>
          <w:highlight w:val="none"/>
          <w:lang w:val="en-US" w:eastAsia="zh-CN"/>
        </w:rPr>
        <w:t>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要求项目负责人业绩。</w:t>
      </w:r>
    </w:p>
    <w:p>
      <w:pPr>
        <w:rPr>
          <w:rFonts w:hint="default"/>
          <w:color w:val="auto"/>
          <w:highlight w:val="none"/>
          <w:u w:val="none"/>
          <w:lang w:val="en-US" w:eastAsia="zh-CN"/>
        </w:rPr>
      </w:pPr>
      <w:r>
        <w:rPr>
          <w:rFonts w:hint="eastAsia" w:ascii="宋体" w:hAnsi="宋体" w:eastAsia="宋体" w:cs="宋体"/>
          <w:color w:val="auto"/>
          <w:sz w:val="24"/>
          <w:szCs w:val="18"/>
          <w:highlight w:val="none"/>
          <w:lang w:val="en-US" w:eastAsia="zh-CN"/>
        </w:rPr>
        <w:t>2、业绩证明材料需提供：</w:t>
      </w:r>
      <w:r>
        <w:rPr>
          <w:rFonts w:hint="eastAsia" w:ascii="宋体" w:hAnsi="宋体" w:eastAsia="宋体" w:cs="宋体"/>
          <w:color w:val="auto"/>
          <w:sz w:val="24"/>
          <w:szCs w:val="18"/>
          <w:highlight w:val="none"/>
          <w:u w:val="single"/>
          <w:lang w:val="en-US" w:eastAsia="zh-CN"/>
        </w:rPr>
        <w:t xml:space="preserve">            </w:t>
      </w:r>
      <w:r>
        <w:rPr>
          <w:rFonts w:hint="eastAsia" w:ascii="宋体" w:hAnsi="宋体" w:eastAsia="宋体" w:cs="宋体"/>
          <w:color w:val="auto"/>
          <w:sz w:val="24"/>
          <w:szCs w:val="18"/>
          <w:highlight w:val="none"/>
          <w:u w:val="none"/>
          <w:lang w:val="en-US" w:eastAsia="zh-CN"/>
        </w:rPr>
        <w:t>。</w:t>
      </w:r>
    </w:p>
    <w:p>
      <w:pPr>
        <w:autoSpaceDE w:val="0"/>
        <w:autoSpaceDN w:val="0"/>
        <w:adjustRightInd w:val="0"/>
        <w:spacing w:line="420" w:lineRule="exact"/>
        <w:jc w:val="left"/>
        <w:rPr>
          <w:rFonts w:ascii="黑体" w:hAnsi="新宋体" w:eastAsia="黑体" w:cs="黑体"/>
          <w:color w:val="auto"/>
          <w:kern w:val="0"/>
          <w:sz w:val="28"/>
          <w:szCs w:val="28"/>
          <w:highlight w:val="none"/>
        </w:rPr>
      </w:pPr>
    </w:p>
    <w:p>
      <w:pPr>
        <w:autoSpaceDE w:val="0"/>
        <w:autoSpaceDN w:val="0"/>
        <w:adjustRightInd w:val="0"/>
        <w:spacing w:line="420" w:lineRule="exact"/>
        <w:jc w:val="left"/>
        <w:rPr>
          <w:rFonts w:ascii="黑体" w:hAnsi="新宋体" w:eastAsia="黑体" w:cs="黑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color w:val="auto"/>
          <w:highlight w:val="none"/>
        </w:rPr>
      </w:pPr>
      <w:r>
        <w:rPr>
          <w:b w:val="0"/>
          <w:bCs w:val="0"/>
          <w:color w:val="auto"/>
          <w:kern w:val="0"/>
          <w:highlight w:val="none"/>
        </w:rPr>
        <w:br w:type="page"/>
      </w:r>
      <w:r>
        <w:rPr>
          <w:rFonts w:hint="eastAsia" w:ascii="黑体" w:hAnsi="黑体" w:eastAsia="黑体" w:cs="黑体"/>
          <w:color w:val="auto"/>
          <w:sz w:val="32"/>
          <w:szCs w:val="32"/>
          <w:highlight w:val="none"/>
          <w:lang w:val="en-US" w:eastAsia="en-US"/>
        </w:rPr>
        <w:t>十、人员配备要求</w:t>
      </w:r>
    </w:p>
    <w:p>
      <w:pPr>
        <w:spacing w:after="312" w:afterLines="100" w:line="420" w:lineRule="exact"/>
        <w:ind w:firstLine="0" w:firstLineChars="0"/>
        <w:jc w:val="center"/>
        <w:rPr>
          <w:rFonts w:ascii="黑体" w:hAnsi="宋体" w:eastAsia="黑体" w:cs="Times New Roman"/>
          <w:color w:val="auto"/>
          <w:kern w:val="2"/>
          <w:sz w:val="24"/>
          <w:szCs w:val="24"/>
          <w:highlight w:val="none"/>
          <w:lang w:eastAsia="zh-CN"/>
        </w:rPr>
      </w:pPr>
      <w:r>
        <w:rPr>
          <w:rFonts w:hint="eastAsia" w:ascii="黑体" w:hAnsi="宋体" w:eastAsia="黑体" w:cs="Times New Roman"/>
          <w:color w:val="auto"/>
          <w:kern w:val="2"/>
          <w:sz w:val="24"/>
          <w:szCs w:val="24"/>
          <w:highlight w:val="none"/>
          <w:lang w:eastAsia="zh-CN"/>
        </w:rPr>
        <w:t>施工现场专业（管理）人员基本情况表</w:t>
      </w:r>
    </w:p>
    <w:tbl>
      <w:tblPr>
        <w:tblStyle w:val="19"/>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709"/>
        <w:gridCol w:w="709"/>
        <w:gridCol w:w="1276"/>
        <w:gridCol w:w="1135"/>
        <w:gridCol w:w="709"/>
        <w:gridCol w:w="803"/>
        <w:gridCol w:w="1702"/>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岗位</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姓名</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性别</w:t>
            </w: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出生年月</w:t>
            </w: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工作年限</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职称</w:t>
            </w: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学历</w:t>
            </w: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岗位证书（资格证书）及编号</w:t>
            </w:r>
          </w:p>
        </w:tc>
        <w:tc>
          <w:tcPr>
            <w:tcW w:w="14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项目负责人</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技术负责人</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施工员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安全员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质量员（质检员）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标准员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材料员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机械员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劳务员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 xml:space="preserve">专职：□ </w:t>
            </w:r>
          </w:p>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资料员</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8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7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p>
        </w:tc>
        <w:tc>
          <w:tcPr>
            <w:tcW w:w="1403" w:type="dxa"/>
            <w:tcBorders>
              <w:top w:val="single" w:color="auto" w:sz="4" w:space="0"/>
              <w:left w:val="single" w:color="auto" w:sz="4" w:space="0"/>
              <w:bottom w:val="single" w:color="auto" w:sz="4" w:space="0"/>
              <w:right w:val="single" w:color="auto" w:sz="4" w:space="0"/>
            </w:tcBorders>
            <w:vAlign w:val="center"/>
          </w:tcPr>
          <w:p>
            <w:pPr>
              <w:spacing w:after="0" w:line="240" w:lineRule="auto"/>
              <w:ind w:firstLine="0" w:firstLineChars="0"/>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专职：□</w:t>
            </w:r>
          </w:p>
          <w:p>
            <w:pPr>
              <w:autoSpaceDE w:val="0"/>
              <w:autoSpaceDN w:val="0"/>
              <w:adjustRightInd w:val="0"/>
              <w:spacing w:after="0" w:line="240" w:lineRule="auto"/>
              <w:ind w:firstLine="0" w:firstLineChars="0"/>
              <w:jc w:val="center"/>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可兼任：□</w:t>
            </w:r>
          </w:p>
        </w:tc>
      </w:tr>
    </w:tbl>
    <w:p>
      <w:pPr>
        <w:spacing w:after="0" w:line="240" w:lineRule="auto"/>
        <w:ind w:firstLine="0" w:firstLineChars="0"/>
        <w:rPr>
          <w:rFonts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eastAsia="zh-CN"/>
        </w:rPr>
        <w:t>注：</w:t>
      </w:r>
      <w:r>
        <w:rPr>
          <w:rFonts w:ascii="Times New Roman" w:hAnsi="Times New Roman" w:eastAsia="宋体" w:cs="Times New Roman"/>
          <w:color w:val="auto"/>
          <w:kern w:val="2"/>
          <w:sz w:val="21"/>
          <w:szCs w:val="21"/>
          <w:highlight w:val="none"/>
          <w:lang w:eastAsia="zh-CN"/>
        </w:rPr>
        <w:t>1.</w:t>
      </w:r>
      <w:r>
        <w:rPr>
          <w:rFonts w:hint="eastAsia" w:ascii="Times New Roman" w:hAnsi="Times New Roman" w:eastAsia="宋体" w:cs="Times New Roman"/>
          <w:color w:val="auto"/>
          <w:kern w:val="2"/>
          <w:sz w:val="21"/>
          <w:szCs w:val="21"/>
          <w:highlight w:val="none"/>
          <w:lang w:eastAsia="zh-CN"/>
        </w:rPr>
        <w:t>此表须符合招标文件中“施工现场专业（管理）人员配备表”的要求；</w:t>
      </w:r>
    </w:p>
    <w:p>
      <w:pPr>
        <w:spacing w:after="0" w:line="240" w:lineRule="auto"/>
        <w:ind w:firstLine="420" w:firstLineChars="200"/>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2.</w:t>
      </w:r>
      <w:r>
        <w:rPr>
          <w:rFonts w:hint="eastAsia" w:ascii="Times New Roman" w:hAnsi="Times New Roman" w:eastAsia="宋体" w:cs="Times New Roman"/>
          <w:color w:val="auto"/>
          <w:kern w:val="2"/>
          <w:sz w:val="21"/>
          <w:szCs w:val="21"/>
          <w:highlight w:val="none"/>
          <w:lang w:eastAsia="zh-CN"/>
        </w:rPr>
        <w:t>表中“岗位要求”一栏，“专职”“可兼任”由投标人在“□”内打“√”；</w:t>
      </w:r>
    </w:p>
    <w:p>
      <w:pPr>
        <w:spacing w:after="0" w:line="240" w:lineRule="auto"/>
        <w:ind w:firstLine="420" w:firstLineChars="200"/>
        <w:rPr>
          <w:rFonts w:ascii="Times New Roman" w:hAnsi="Times New Roman" w:eastAsia="宋体" w:cs="Times New Roman"/>
          <w:color w:val="auto"/>
          <w:kern w:val="2"/>
          <w:sz w:val="21"/>
          <w:szCs w:val="21"/>
          <w:highlight w:val="none"/>
          <w:lang w:eastAsia="zh-CN"/>
        </w:rPr>
      </w:pPr>
      <w:r>
        <w:rPr>
          <w:rFonts w:ascii="Times New Roman" w:hAnsi="Times New Roman" w:eastAsia="宋体" w:cs="Times New Roman"/>
          <w:color w:val="auto"/>
          <w:kern w:val="2"/>
          <w:sz w:val="21"/>
          <w:szCs w:val="21"/>
          <w:highlight w:val="none"/>
          <w:lang w:eastAsia="zh-CN"/>
        </w:rPr>
        <w:t>3.</w:t>
      </w:r>
      <w:r>
        <w:rPr>
          <w:rFonts w:hint="eastAsia" w:ascii="Times New Roman" w:hAnsi="Times New Roman" w:eastAsia="宋体" w:cs="Times New Roman"/>
          <w:color w:val="auto"/>
          <w:kern w:val="2"/>
          <w:sz w:val="21"/>
          <w:szCs w:val="21"/>
          <w:highlight w:val="none"/>
          <w:lang w:eastAsia="zh-CN"/>
        </w:rPr>
        <w:t>相关证书及资料附后。</w:t>
      </w:r>
    </w:p>
    <w:p>
      <w:pPr>
        <w:widowControl/>
        <w:spacing w:after="0" w:line="240" w:lineRule="auto"/>
        <w:ind w:firstLine="0" w:firstLineChars="0"/>
        <w:jc w:val="left"/>
        <w:rPr>
          <w:color w:val="auto"/>
          <w:szCs w:val="21"/>
          <w:highlight w:val="none"/>
        </w:rPr>
      </w:pPr>
      <w:r>
        <w:rPr>
          <w:color w:val="auto"/>
          <w:szCs w:val="21"/>
          <w:highlight w:val="none"/>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6"/>
          <w:szCs w:val="36"/>
          <w:highlight w:val="none"/>
          <w:lang w:val="en-US" w:eastAsia="zh-CN"/>
        </w:rPr>
      </w:pPr>
      <w:r>
        <w:rPr>
          <w:rFonts w:hint="eastAsia" w:ascii="黑体" w:hAnsi="黑体" w:eastAsia="黑体" w:cs="黑体"/>
          <w:color w:val="auto"/>
          <w:sz w:val="32"/>
          <w:szCs w:val="32"/>
          <w:highlight w:val="none"/>
          <w:lang w:val="en-US" w:eastAsia="zh-CN"/>
        </w:rPr>
        <w:t>十一</w:t>
      </w:r>
      <w:r>
        <w:rPr>
          <w:rFonts w:ascii="黑体" w:hAnsi="黑体" w:eastAsia="黑体" w:cs="黑体"/>
          <w:color w:val="auto"/>
          <w:sz w:val="32"/>
          <w:szCs w:val="32"/>
          <w:highlight w:val="none"/>
        </w:rPr>
        <w:t>、</w:t>
      </w:r>
      <w:r>
        <w:rPr>
          <w:rFonts w:hint="eastAsia" w:ascii="黑体" w:hAnsi="黑体" w:eastAsia="黑体" w:cs="黑体"/>
          <w:color w:val="auto"/>
          <w:sz w:val="36"/>
          <w:szCs w:val="36"/>
          <w:highlight w:val="none"/>
          <w:lang w:val="en-US" w:eastAsia="zh-CN"/>
        </w:rPr>
        <w:t>投标人廉洁自律承诺书</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为了有效遏制不公平竞争和违法违规违纪问题的发生，确保招标工作的公平、公正、公开，特向招标人郑重承诺，在参与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项目招投标过程中严格遵守下列行为准则：</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严格遵守国家有关法律法规及相关政策，以及廉洁从业的各项规定。</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不以任何理由、任何形式向招标人相关工作人员或其亲戚、朋友等利益相关人提供宴请或馈赠礼金、购物卡、会员卡、电子礼卡、有价证券、贵重物品及好处费、感谢费等。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不以任何名义为招标人相关工作人员或其亲戚、朋友等利益相关人支付、报销应由其个人支付的费用。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不以任何理由安排招标人相关工作人员或其亲戚、朋友等利益相关人参加健身、娱乐和旅游等活动。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不为招标人的业务部门、关联企业或人员购置或提供通讯工具、交通工具、高档办公用品或为装修住房、配偶子女的工作安排以及出国（境）等提供方便。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不以贿赂之外的其他方式拉拢招标方相关工作人员，使其违背公平、公开、公正竞争原则，帮助实现中标目的。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不在非公务场合洽谈业务，不一对一洽谈业务，不许诺事后给予招标人相关工作人员利益。</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招标人相关工作人员以帮助实现中标目的为对价向投标人索取贿赂或谋求其他个人利益，投标人应拒绝招标人相关工作人员的要求，或发现招标人相关工作人员向投标人透露商业秘密，一并向招标人监督部门举报。举报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如果承诺人违背上述承诺并中标，承诺人自愿承担宣告中标无效、与招标人签订的合同无效、招标人有权拒绝支付合同款、</w:t>
      </w:r>
      <w:r>
        <w:rPr>
          <w:rFonts w:hint="eastAsia" w:ascii="宋体" w:hAnsi="宋体" w:eastAsia="宋体" w:cs="宋体"/>
          <w:color w:val="auto"/>
          <w:sz w:val="24"/>
          <w:szCs w:val="24"/>
          <w:highlight w:val="none"/>
          <w:lang w:val="en-US" w:eastAsia="zh-CN"/>
        </w:rPr>
        <w:t>已支付的合同款返还招标人、</w:t>
      </w:r>
      <w:r>
        <w:rPr>
          <w:rFonts w:hint="eastAsia" w:ascii="宋体" w:hAnsi="宋体" w:eastAsia="宋体" w:cs="宋体"/>
          <w:color w:val="auto"/>
          <w:sz w:val="24"/>
          <w:szCs w:val="24"/>
          <w:highlight w:val="none"/>
        </w:rPr>
        <w:t>承诺人自身损失自己承担并赔偿招标人因此产生的一切损失的民事法律责任及</w:t>
      </w:r>
      <w:r>
        <w:rPr>
          <w:rFonts w:hint="eastAsia" w:ascii="宋体" w:hAnsi="宋体" w:eastAsia="宋体" w:cs="宋体"/>
          <w:color w:val="auto"/>
          <w:sz w:val="24"/>
          <w:szCs w:val="24"/>
          <w:highlight w:val="none"/>
          <w:lang w:val="en-US" w:eastAsia="zh-CN"/>
        </w:rPr>
        <w:t>可能</w:t>
      </w:r>
      <w:r>
        <w:rPr>
          <w:rFonts w:hint="eastAsia" w:ascii="宋体" w:hAnsi="宋体" w:eastAsia="宋体" w:cs="宋体"/>
          <w:color w:val="auto"/>
          <w:sz w:val="24"/>
          <w:szCs w:val="24"/>
          <w:highlight w:val="none"/>
        </w:rPr>
        <w:t>产生的刑事责任。</w:t>
      </w:r>
      <w:r>
        <w:rPr>
          <w:rFonts w:hint="eastAsia" w:ascii="宋体" w:hAnsi="宋体" w:eastAsia="宋体" w:cs="宋体"/>
          <w:color w:val="auto"/>
          <w:sz w:val="24"/>
          <w:szCs w:val="24"/>
          <w:highlight w:val="none"/>
          <w:lang w:val="en-US" w:eastAsia="zh-CN"/>
        </w:rPr>
        <w:t>同时列入政府采购严重违法失信行为记录名单。</w:t>
      </w:r>
      <w:r>
        <w:rPr>
          <w:rFonts w:hint="eastAsia" w:ascii="宋体" w:hAnsi="宋体" w:eastAsia="宋体" w:cs="宋体"/>
          <w:color w:val="auto"/>
          <w:sz w:val="24"/>
          <w:szCs w:val="24"/>
          <w:highlight w:val="none"/>
        </w:rPr>
        <w:t>本承诺书随招标文件一并发布，随投标文件一并签订提交</w:t>
      </w:r>
      <w:r>
        <w:rPr>
          <w:rFonts w:hint="eastAsia" w:ascii="宋体" w:hAnsi="宋体" w:eastAsia="宋体" w:cs="宋体"/>
          <w:color w:val="auto"/>
          <w:sz w:val="24"/>
          <w:szCs w:val="24"/>
          <w:highlight w:val="none"/>
          <w:lang w:eastAsia="zh-CN"/>
        </w:rPr>
        <w:t>。</w:t>
      </w:r>
    </w:p>
    <w:p>
      <w:pPr>
        <w:bidi w:val="0"/>
        <w:rPr>
          <w:rFonts w:hint="eastAsia" w:ascii="宋体" w:hAnsi="宋体" w:eastAsia="宋体" w:cs="宋体"/>
          <w:color w:val="auto"/>
          <w:sz w:val="24"/>
          <w:szCs w:val="24"/>
          <w:highlight w:val="none"/>
        </w:rPr>
      </w:pPr>
    </w:p>
    <w:p>
      <w:pPr>
        <w:bidi w:val="0"/>
        <w:ind w:firstLine="2640" w:firstLineChars="11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承 诺 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pPr>
        <w:bidi w:val="0"/>
        <w:ind w:firstLine="3120" w:firstLineChars="13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年  月  日</w:t>
      </w:r>
    </w:p>
    <w:p>
      <w:pPr>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hint="eastAsia" w:ascii="黑体" w:hAnsi="黑体" w:eastAsia="黑体" w:cs="黑体"/>
          <w:color w:val="auto"/>
          <w:sz w:val="32"/>
          <w:szCs w:val="32"/>
          <w:highlight w:val="none"/>
          <w:lang w:val="en-US" w:eastAsia="en-US"/>
        </w:rPr>
      </w:pPr>
      <w:r>
        <w:rPr>
          <w:rFonts w:hint="eastAsia" w:ascii="黑体" w:hAnsi="黑体" w:eastAsia="黑体" w:cs="黑体"/>
          <w:color w:val="auto"/>
          <w:sz w:val="32"/>
          <w:szCs w:val="32"/>
          <w:highlight w:val="none"/>
          <w:lang w:val="en-US" w:eastAsia="en-US"/>
        </w:rPr>
        <w:t>十</w:t>
      </w: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lang w:val="en-US" w:eastAsia="en-US"/>
        </w:rPr>
        <w:t>、其他要求</w:t>
      </w:r>
    </w:p>
    <w:p>
      <w:pPr>
        <w:keepNext w:val="0"/>
        <w:keepLines w:val="0"/>
        <w:pageBreakBefore w:val="0"/>
        <w:widowControl/>
        <w:kinsoku/>
        <w:wordWrap/>
        <w:overflowPunct/>
        <w:bidi w:val="0"/>
        <w:adjustRightInd/>
        <w:snapToGrid/>
        <w:spacing w:line="240" w:lineRule="auto"/>
        <w:ind w:left="0" w:right="0" w:firstLine="0" w:firstLineChars="0"/>
        <w:jc w:val="left"/>
        <w:textAlignment w:val="auto"/>
        <w:outlineLvl w:val="9"/>
        <w:rPr>
          <w:rFonts w:hint="eastAsia" w:ascii="黑体" w:hAnsi="黑体" w:eastAsia="黑体" w:cs="黑体"/>
          <w:b w:val="0"/>
          <w:bCs w:val="0"/>
          <w:color w:val="auto"/>
          <w:sz w:val="32"/>
          <w:szCs w:val="32"/>
          <w:highlight w:val="none"/>
        </w:rPr>
      </w:pPr>
    </w:p>
    <w:p>
      <w:pPr>
        <w:keepNext w:val="0"/>
        <w:keepLines w:val="0"/>
        <w:pageBreakBefore w:val="0"/>
        <w:widowControl/>
        <w:kinsoku/>
        <w:wordWrap/>
        <w:overflowPunct/>
        <w:bidi w:val="0"/>
        <w:adjustRightInd/>
        <w:snapToGrid/>
        <w:spacing w:line="240" w:lineRule="auto"/>
        <w:ind w:left="0" w:right="0" w:firstLine="0" w:firstLineChars="0"/>
        <w:jc w:val="left"/>
        <w:textAlignment w:val="auto"/>
        <w:outlineLvl w:val="9"/>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br w:type="page"/>
      </w: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1"/>
        <w:rPr>
          <w:rFonts w:hint="eastAsia" w:ascii="黑体" w:hAnsi="黑体" w:eastAsia="黑体" w:cs="黑体"/>
          <w:b w:val="0"/>
          <w:bCs w:val="0"/>
          <w:color w:val="auto"/>
          <w:sz w:val="32"/>
          <w:szCs w:val="32"/>
          <w:highlight w:val="none"/>
        </w:rPr>
      </w:pPr>
      <w:bookmarkStart w:id="519" w:name="_Toc22587"/>
      <w:r>
        <w:rPr>
          <w:rFonts w:hint="eastAsia"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二</w:t>
      </w:r>
      <w:r>
        <w:rPr>
          <w:rFonts w:hint="eastAsia" w:ascii="黑体" w:hAnsi="黑体" w:eastAsia="黑体" w:cs="黑体"/>
          <w:b w:val="0"/>
          <w:bCs w:val="0"/>
          <w:color w:val="auto"/>
          <w:sz w:val="32"/>
          <w:szCs w:val="32"/>
          <w:highlight w:val="none"/>
        </w:rPr>
        <w:t>节 商务投标文件格式</w:t>
      </w:r>
      <w:bookmarkEnd w:id="518"/>
      <w:bookmarkEnd w:id="519"/>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pPr>
        <w:rPr>
          <w:rFonts w:ascii="黑体" w:hAnsi="黑体" w:eastAsia="黑体" w:cs="黑体"/>
          <w:b/>
          <w:bCs/>
          <w:color w:val="auto"/>
          <w:sz w:val="16"/>
          <w:szCs w:val="16"/>
          <w:highlight w:val="none"/>
        </w:rPr>
      </w:pPr>
      <w:r>
        <w:rPr>
          <w:rFonts w:ascii="黑体" w:hAnsi="黑体" w:eastAsia="黑体" w:cs="黑体"/>
          <w:b/>
          <w:bCs/>
          <w:color w:val="auto"/>
          <w:sz w:val="16"/>
          <w:szCs w:val="16"/>
          <w:highlight w:val="none"/>
        </w:rPr>
        <w:br w:type="page"/>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both"/>
        <w:textAlignment w:val="auto"/>
        <w:rPr>
          <w:rFonts w:ascii="黑体" w:hAnsi="黑体" w:eastAsia="黑体" w:cs="黑体"/>
          <w:color w:val="auto"/>
          <w:sz w:val="28"/>
          <w:szCs w:val="28"/>
          <w:highlight w:val="none"/>
        </w:rPr>
        <w:sectPr>
          <w:pgSz w:w="11910" w:h="16840"/>
          <w:pgMar w:top="1580" w:right="1680" w:bottom="1480" w:left="1680" w:header="0" w:footer="1290" w:gutter="0"/>
          <w:pgNumType w:fmt="decimal"/>
          <w:cols w:space="720" w:num="1"/>
        </w:sect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5"/>
          <w:szCs w:val="35"/>
          <w:highlight w:val="none"/>
        </w:rPr>
      </w:pPr>
      <w:bookmarkStart w:id="520" w:name="_bookmark273"/>
      <w:bookmarkEnd w:id="520"/>
      <w:bookmarkStart w:id="521" w:name="_bookmark274"/>
      <w:bookmarkEnd w:id="521"/>
      <w:bookmarkStart w:id="522" w:name="目    录"/>
      <w:bookmarkEnd w:id="522"/>
      <w:bookmarkStart w:id="523" w:name="一、投标函及投标函附录"/>
      <w:bookmarkEnd w:id="523"/>
      <w:bookmarkStart w:id="524" w:name="_Toc18729"/>
      <w:r>
        <w:rPr>
          <w:rFonts w:ascii="黑体" w:hAnsi="黑体" w:eastAsia="黑体" w:cs="黑体"/>
          <w:color w:val="auto"/>
          <w:sz w:val="32"/>
          <w:szCs w:val="32"/>
          <w:highlight w:val="none"/>
        </w:rPr>
        <w:t>一、投标函及投标函附录</w:t>
      </w:r>
      <w:bookmarkEnd w:id="524"/>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16"/>
          <w:szCs w:val="16"/>
          <w:highlight w:val="none"/>
        </w:rPr>
      </w:pPr>
      <w:bookmarkStart w:id="525" w:name="_bookmark275"/>
      <w:bookmarkEnd w:id="525"/>
      <w:bookmarkStart w:id="526" w:name="（一）投标函"/>
      <w:bookmarkEnd w:id="526"/>
      <w:r>
        <w:rPr>
          <w:rFonts w:ascii="黑体" w:hAnsi="黑体" w:eastAsia="黑体" w:cs="黑体"/>
          <w:color w:val="auto"/>
          <w:sz w:val="28"/>
          <w:szCs w:val="28"/>
          <w:highlight w:val="none"/>
        </w:rPr>
        <w:t>（一）投标函</w:t>
      </w:r>
    </w:p>
    <w:p>
      <w:pPr>
        <w:pStyle w:val="9"/>
        <w:keepNext w:val="0"/>
        <w:keepLines w:val="0"/>
        <w:pageBreakBefore w:val="0"/>
        <w:widowControl w:val="0"/>
        <w:tabs>
          <w:tab w:val="left" w:pos="2628"/>
        </w:tabs>
        <w:kinsoku/>
        <w:wordWrap/>
        <w:overflowPunct/>
        <w:topLinePunct w:val="0"/>
        <w:autoSpaceDE/>
        <w:autoSpaceDN/>
        <w:bidi w:val="0"/>
        <w:adjustRightInd w:val="0"/>
        <w:snapToGrid w:val="0"/>
        <w:spacing w:line="360" w:lineRule="auto"/>
        <w:ind w:left="0" w:right="0" w:firstLine="0" w:firstLineChars="0"/>
        <w:jc w:val="left"/>
        <w:textAlignment w:val="auto"/>
        <w:rPr>
          <w:rFonts w:ascii="宋体" w:hAnsi="宋体" w:eastAsia="宋体" w:cs="宋体"/>
          <w:color w:val="auto"/>
          <w:spacing w:val="0"/>
          <w:w w:val="100"/>
          <w:sz w:val="24"/>
          <w:szCs w:val="24"/>
          <w:highlight w:val="none"/>
        </w:rPr>
      </w:pP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color w:val="auto"/>
          <w:spacing w:val="-13"/>
          <w:sz w:val="24"/>
          <w:szCs w:val="24"/>
          <w:highlight w:val="none"/>
        </w:rPr>
        <w:t>（招标人名称）：</w:t>
      </w:r>
    </w:p>
    <w:p>
      <w:pPr>
        <w:pStyle w:val="9"/>
        <w:keepNext w:val="0"/>
        <w:keepLines w:val="0"/>
        <w:pageBreakBefore w:val="0"/>
        <w:widowControl w:val="0"/>
        <w:tabs>
          <w:tab w:val="left" w:pos="2511"/>
          <w:tab w:val="left" w:pos="3557"/>
          <w:tab w:val="left" w:pos="4188"/>
          <w:tab w:val="left" w:pos="7373"/>
          <w:tab w:val="left" w:pos="74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1．我方已仔细研究了</w:t>
      </w:r>
      <w:r>
        <w:rPr>
          <w:rFonts w:hint="eastAsia"/>
          <w:color w:val="auto"/>
          <w:spacing w:val="0"/>
          <w:w w:val="100"/>
          <w:sz w:val="24"/>
          <w:szCs w:val="24"/>
          <w:highlight w:val="none"/>
          <w:lang w:val="en-US" w:eastAsia="zh-CN"/>
        </w:rPr>
        <w:t xml:space="preserve"> </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（项目名称）</w:t>
      </w:r>
      <w:r>
        <w:rPr>
          <w:color w:val="auto"/>
          <w:spacing w:val="0"/>
          <w:w w:val="100"/>
          <w:sz w:val="24"/>
          <w:szCs w:val="24"/>
          <w:highlight w:val="none"/>
          <w:u w:val="single"/>
        </w:rPr>
        <w:t xml:space="preserve">     </w:t>
      </w:r>
      <w:r>
        <w:rPr>
          <w:color w:val="auto"/>
          <w:spacing w:val="0"/>
          <w:w w:val="100"/>
          <w:sz w:val="24"/>
          <w:szCs w:val="24"/>
          <w:highlight w:val="none"/>
        </w:rPr>
        <w:t>标段招标文件的全部内容，愿意以人民币（大写）</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元（¥</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）的投标总报价，工期</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日历天，按合同约定实施和完成承包工程，修补工程中的任何缺陷，工程质量达到</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2．我方承诺在投标有效期内不修改、撤销投标文件。</w:t>
      </w:r>
    </w:p>
    <w:p>
      <w:pPr>
        <w:pStyle w:val="9"/>
        <w:keepNext w:val="0"/>
        <w:keepLines w:val="0"/>
        <w:pageBreakBefore w:val="0"/>
        <w:widowControl w:val="0"/>
        <w:tabs>
          <w:tab w:val="left" w:pos="7143"/>
          <w:tab w:val="left" w:pos="8348"/>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3．随同本投标函提交投标保证金一份，金额为人民币（大写）</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元（¥</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4．如我方中标：</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（1）我方承诺在收到中标通知书后，在中标通知书规定的期限内与你方签订合同。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（2）随同本投标函递交的投标函附录属于合同文件的组成部分。</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（3）我方承诺按照招标文件规定向你方递交履约担保。</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（4）我方承诺在合同约定的期限内完成并移交全部合同工程。</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5．我方在此声明，所递交的投标文件及有关资料内容完整、真实和准确，且不存在第二章“投标人须知”第 1.4.3 项规定的任何一种情形。</w:t>
      </w:r>
    </w:p>
    <w:p>
      <w:pPr>
        <w:pStyle w:val="9"/>
        <w:keepNext w:val="0"/>
        <w:keepLines w:val="0"/>
        <w:pageBreakBefore w:val="0"/>
        <w:widowControl w:val="0"/>
        <w:tabs>
          <w:tab w:val="left" w:pos="4937"/>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6．</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（其他补充说明）。</w:t>
      </w:r>
    </w:p>
    <w:p>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投 标 人（电子签章）：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法定代表人（电子签章）：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网    址：</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pacing w:line="360" w:lineRule="auto"/>
        <w:ind w:firstLine="1800" w:firstLineChars="750"/>
        <w:jc w:val="lef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传    真：</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spacing w:line="360" w:lineRule="auto"/>
        <w:ind w:firstLine="1800" w:firstLineChars="75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邮政编码：</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center"/>
        <w:textAlignment w:val="auto"/>
        <w:rPr>
          <w:rFonts w:hint="eastAsia" w:asciiTheme="minorEastAsia" w:hAnsiTheme="minorEastAsia" w:eastAsiaTheme="minorEastAsia" w:cstheme="minorEastAsia"/>
          <w:color w:val="auto"/>
          <w:spacing w:val="0"/>
          <w:w w:val="100"/>
          <w:sz w:val="24"/>
          <w:szCs w:val="24"/>
          <w:highlight w:val="none"/>
        </w:rPr>
        <w:sectPr>
          <w:pgSz w:w="11910" w:h="16840"/>
          <w:pgMar w:top="1580" w:right="1420" w:bottom="1480" w:left="1480" w:header="0" w:footer="1290" w:gutter="0"/>
          <w:pgNumType w:fmt="decimal"/>
          <w:cols w:space="720" w:num="1"/>
        </w:sect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0"/>
          <w:szCs w:val="2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bookmarkStart w:id="527" w:name="（二）投标函附录"/>
      <w:bookmarkEnd w:id="527"/>
      <w:bookmarkStart w:id="528" w:name="_bookmark276"/>
      <w:bookmarkEnd w:id="528"/>
      <w:r>
        <w:rPr>
          <w:rFonts w:ascii="黑体" w:hAnsi="黑体" w:eastAsia="黑体" w:cs="黑体"/>
          <w:color w:val="auto"/>
          <w:sz w:val="28"/>
          <w:szCs w:val="28"/>
          <w:highlight w:val="none"/>
        </w:rPr>
        <w:t>（二）投标函附录</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0"/>
          <w:szCs w:val="2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19"/>
        <w:tblW w:w="0" w:type="auto"/>
        <w:tblInd w:w="115" w:type="dxa"/>
        <w:tblLayout w:type="fixed"/>
        <w:tblCellMar>
          <w:top w:w="0" w:type="dxa"/>
          <w:left w:w="0" w:type="dxa"/>
          <w:bottom w:w="0" w:type="dxa"/>
          <w:right w:w="0" w:type="dxa"/>
        </w:tblCellMar>
      </w:tblPr>
      <w:tblGrid>
        <w:gridCol w:w="686"/>
        <w:gridCol w:w="2469"/>
        <w:gridCol w:w="2283"/>
        <w:gridCol w:w="2855"/>
        <w:gridCol w:w="759"/>
      </w:tblGrid>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序号</w:t>
            </w:r>
          </w:p>
        </w:tc>
        <w:tc>
          <w:tcPr>
            <w:tcW w:w="246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条款名称</w:t>
            </w:r>
          </w:p>
        </w:tc>
        <w:tc>
          <w:tcPr>
            <w:tcW w:w="2283"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合同条款号</w:t>
            </w:r>
          </w:p>
        </w:tc>
        <w:tc>
          <w:tcPr>
            <w:tcW w:w="285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约定内容</w:t>
            </w:r>
          </w:p>
        </w:tc>
        <w:tc>
          <w:tcPr>
            <w:tcW w:w="75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备注</w:t>
            </w: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1</w:t>
            </w:r>
          </w:p>
        </w:tc>
        <w:tc>
          <w:tcPr>
            <w:tcW w:w="246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项目负责人</w:t>
            </w:r>
          </w:p>
        </w:tc>
        <w:tc>
          <w:tcPr>
            <w:tcW w:w="2283"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1.1.2.4</w:t>
            </w:r>
          </w:p>
        </w:tc>
        <w:tc>
          <w:tcPr>
            <w:tcW w:w="285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2465"/>
              </w:tabs>
              <w:kinsoku/>
              <w:wordWrap/>
              <w:overflowPunct/>
              <w:topLinePunct w:val="0"/>
              <w:autoSpaceDE/>
              <w:autoSpaceDN/>
              <w:bidi w:val="0"/>
              <w:adjustRightInd w:val="0"/>
              <w:snapToGrid w:val="0"/>
              <w:spacing w:line="360" w:lineRule="auto"/>
              <w:ind w:left="0" w:right="0" w:firstLine="0" w:firstLineChars="0"/>
              <w:jc w:val="center"/>
              <w:textAlignment w:val="auto"/>
              <w:rPr>
                <w:rFonts w:ascii="Times New Roman" w:hAnsi="Times New Roman" w:eastAsia="Times New Roman" w:cs="Times New Roman"/>
                <w:color w:val="auto"/>
                <w:sz w:val="24"/>
                <w:szCs w:val="24"/>
                <w:highlight w:val="none"/>
              </w:rPr>
            </w:pPr>
            <w:r>
              <w:rPr>
                <w:rFonts w:ascii="宋体" w:hAnsi="宋体" w:eastAsia="宋体" w:cs="宋体"/>
                <w:color w:val="auto"/>
                <w:sz w:val="24"/>
                <w:szCs w:val="24"/>
                <w:highlight w:val="none"/>
              </w:rPr>
              <w:t>姓名：</w:t>
            </w:r>
            <w:r>
              <w:rPr>
                <w:rFonts w:ascii="Times New Roman" w:hAnsi="Times New Roman" w:eastAsia="Times New Roman" w:cs="Times New Roman"/>
                <w:color w:val="auto"/>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p>
        </w:tc>
        <w:tc>
          <w:tcPr>
            <w:tcW w:w="75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2</w:t>
            </w:r>
          </w:p>
        </w:tc>
        <w:tc>
          <w:tcPr>
            <w:tcW w:w="246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工期</w:t>
            </w:r>
          </w:p>
        </w:tc>
        <w:tc>
          <w:tcPr>
            <w:tcW w:w="2283"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1.1.4.3</w:t>
            </w:r>
          </w:p>
        </w:tc>
        <w:tc>
          <w:tcPr>
            <w:tcW w:w="285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tabs>
                <w:tab w:val="left" w:pos="1841"/>
              </w:tabs>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w w:val="95"/>
                <w:sz w:val="24"/>
                <w:szCs w:val="24"/>
                <w:highlight w:val="none"/>
              </w:rPr>
              <w:t>天数：</w:t>
            </w:r>
            <w:r>
              <w:rPr>
                <w:rFonts w:ascii="Times New Roman" w:hAnsi="Times New Roman" w:eastAsia="Times New Roman" w:cs="Times New Roman"/>
                <w:color w:val="auto"/>
                <w:w w:val="95"/>
                <w:sz w:val="24"/>
                <w:szCs w:val="24"/>
                <w:highlight w:val="none"/>
                <w:u w:val="single" w:color="000000"/>
              </w:rPr>
              <w:tab/>
            </w:r>
            <w:r>
              <w:rPr>
                <w:rFonts w:ascii="宋体" w:hAnsi="宋体" w:eastAsia="宋体" w:cs="宋体"/>
                <w:color w:val="auto"/>
                <w:sz w:val="24"/>
                <w:szCs w:val="24"/>
                <w:highlight w:val="none"/>
              </w:rPr>
              <w:t>日历天</w:t>
            </w:r>
          </w:p>
        </w:tc>
        <w:tc>
          <w:tcPr>
            <w:tcW w:w="75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3</w:t>
            </w:r>
          </w:p>
        </w:tc>
        <w:tc>
          <w:tcPr>
            <w:tcW w:w="246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缺陷责任期</w:t>
            </w:r>
          </w:p>
        </w:tc>
        <w:tc>
          <w:tcPr>
            <w:tcW w:w="2283"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1.1.4.5</w:t>
            </w:r>
          </w:p>
        </w:tc>
        <w:tc>
          <w:tcPr>
            <w:tcW w:w="285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w w:val="99"/>
                <w:sz w:val="24"/>
                <w:szCs w:val="24"/>
                <w:highlight w:val="none"/>
              </w:rPr>
              <w:t>4</w:t>
            </w:r>
          </w:p>
        </w:tc>
        <w:tc>
          <w:tcPr>
            <w:tcW w:w="246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分包</w:t>
            </w:r>
          </w:p>
        </w:tc>
        <w:tc>
          <w:tcPr>
            <w:tcW w:w="2283"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color w:val="auto"/>
                <w:sz w:val="24"/>
                <w:szCs w:val="24"/>
                <w:highlight w:val="none"/>
              </w:rPr>
              <w:t>4.3.4</w:t>
            </w:r>
          </w:p>
        </w:tc>
        <w:tc>
          <w:tcPr>
            <w:tcW w:w="285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246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228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285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c>
          <w:tcPr>
            <w:tcW w:w="75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46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283"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85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75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r>
        <w:tblPrEx>
          <w:tblCellMar>
            <w:top w:w="0" w:type="dxa"/>
            <w:left w:w="0" w:type="dxa"/>
            <w:bottom w:w="0" w:type="dxa"/>
            <w:right w:w="0" w:type="dxa"/>
          </w:tblCellMar>
        </w:tblPrEx>
        <w:trPr>
          <w:trHeight w:val="531" w:hRule="exact"/>
        </w:trPr>
        <w:tc>
          <w:tcPr>
            <w:tcW w:w="686"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469"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283"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285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75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rPr>
                <w:color w:val="auto"/>
                <w:sz w:val="24"/>
                <w:szCs w:val="24"/>
                <w:highlight w:val="none"/>
              </w:rPr>
            </w:pPr>
          </w:p>
        </w:tc>
      </w:tr>
    </w:tbl>
    <w:p>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260" w:bottom="1480" w:left="1360" w:header="0" w:footer="129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529" w:name="二、法定代表人身份证明"/>
      <w:bookmarkEnd w:id="529"/>
      <w:bookmarkStart w:id="530" w:name="_bookmark277"/>
      <w:bookmarkEnd w:id="530"/>
      <w:bookmarkStart w:id="531" w:name="_Toc8943"/>
      <w:r>
        <w:rPr>
          <w:rFonts w:ascii="黑体" w:hAnsi="黑体" w:eastAsia="黑体" w:cs="黑体"/>
          <w:color w:val="auto"/>
          <w:sz w:val="32"/>
          <w:szCs w:val="32"/>
          <w:highlight w:val="none"/>
        </w:rPr>
        <w:t>二、法定代表人身份证明</w:t>
      </w:r>
      <w:bookmarkEnd w:id="531"/>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1"/>
          <w:szCs w:val="21"/>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1"/>
          <w:szCs w:val="21"/>
          <w:highlight w:val="none"/>
        </w:rPr>
      </w:pPr>
    </w:p>
    <w:p>
      <w:pPr>
        <w:pStyle w:val="9"/>
        <w:keepNext w:val="0"/>
        <w:keepLines w:val="0"/>
        <w:pageBreakBefore w:val="0"/>
        <w:widowControl w:val="0"/>
        <w:tabs>
          <w:tab w:val="left" w:pos="2154"/>
          <w:tab w:val="left" w:pos="3203"/>
          <w:tab w:val="left" w:pos="4254"/>
          <w:tab w:val="left" w:pos="4463"/>
        </w:tabs>
        <w:kinsoku/>
        <w:wordWrap/>
        <w:overflowPunct/>
        <w:topLinePunct w:val="0"/>
        <w:autoSpaceDE/>
        <w:autoSpaceDN/>
        <w:bidi w:val="0"/>
        <w:adjustRightInd w:val="0"/>
        <w:snapToGrid w:val="0"/>
        <w:spacing w:line="360" w:lineRule="auto"/>
        <w:ind w:left="0" w:right="0" w:firstLine="480" w:firstLineChars="200"/>
        <w:jc w:val="both"/>
        <w:textAlignment w:val="auto"/>
        <w:rPr>
          <w:rFonts w:ascii="Times New Roman" w:hAnsi="Times New Roman" w:eastAsia="Times New Roman" w:cs="Times New Roman"/>
          <w:color w:val="auto"/>
          <w:sz w:val="24"/>
          <w:szCs w:val="24"/>
          <w:highlight w:val="none"/>
        </w:rPr>
      </w:pPr>
      <w:r>
        <w:rPr>
          <w:color w:val="auto"/>
          <w:sz w:val="24"/>
          <w:szCs w:val="24"/>
          <w:highlight w:val="none"/>
        </w:rPr>
        <w:t>投标人名称：</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sz w:val="24"/>
          <w:szCs w:val="24"/>
          <w:highlight w:val="none"/>
        </w:rPr>
        <w:t>单位性质：</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sz w:val="24"/>
          <w:szCs w:val="24"/>
          <w:highlight w:val="none"/>
        </w:rPr>
        <w:t>地址：</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w w:val="95"/>
          <w:sz w:val="24"/>
          <w:szCs w:val="24"/>
          <w:highlight w:val="none"/>
        </w:rPr>
        <w:t>成立时间：</w:t>
      </w:r>
      <w:r>
        <w:rPr>
          <w:rFonts w:hint="eastAsia"/>
          <w:color w:val="auto"/>
          <w:w w:val="95"/>
          <w:sz w:val="24"/>
          <w:szCs w:val="24"/>
          <w:highlight w:val="none"/>
          <w:u w:val="single"/>
          <w:lang w:val="en-US" w:eastAsia="zh-CN"/>
        </w:rPr>
        <w:t xml:space="preserve">        </w:t>
      </w:r>
      <w:r>
        <w:rPr>
          <w:color w:val="auto"/>
          <w:spacing w:val="-1"/>
          <w:w w:val="95"/>
          <w:sz w:val="24"/>
          <w:szCs w:val="24"/>
          <w:highlight w:val="none"/>
        </w:rPr>
        <w:t>年</w:t>
      </w:r>
      <w:r>
        <w:rPr>
          <w:rFonts w:ascii="Times New Roman" w:hAnsi="Times New Roman" w:eastAsia="Times New Roman" w:cs="Times New Roman"/>
          <w:color w:val="auto"/>
          <w:spacing w:val="-1"/>
          <w:w w:val="95"/>
          <w:sz w:val="24"/>
          <w:szCs w:val="24"/>
          <w:highlight w:val="none"/>
          <w:u w:val="single" w:color="000000"/>
        </w:rPr>
        <w:tab/>
      </w:r>
      <w:r>
        <w:rPr>
          <w:color w:val="auto"/>
          <w:spacing w:val="1"/>
          <w:w w:val="95"/>
          <w:sz w:val="24"/>
          <w:szCs w:val="24"/>
          <w:highlight w:val="none"/>
        </w:rPr>
        <w:t>月</w:t>
      </w:r>
      <w:r>
        <w:rPr>
          <w:rFonts w:ascii="Times New Roman" w:hAnsi="Times New Roman" w:eastAsia="Times New Roman" w:cs="Times New Roman"/>
          <w:color w:val="auto"/>
          <w:spacing w:val="1"/>
          <w:w w:val="95"/>
          <w:sz w:val="24"/>
          <w:szCs w:val="24"/>
          <w:highlight w:val="none"/>
          <w:u w:val="single" w:color="000000"/>
        </w:rPr>
        <w:tab/>
      </w:r>
      <w:r>
        <w:rPr>
          <w:color w:val="auto"/>
          <w:sz w:val="24"/>
          <w:szCs w:val="24"/>
          <w:highlight w:val="none"/>
        </w:rPr>
        <w:t>日</w:t>
      </w:r>
      <w:r>
        <w:rPr>
          <w:color w:val="auto"/>
          <w:w w:val="99"/>
          <w:sz w:val="24"/>
          <w:szCs w:val="24"/>
          <w:highlight w:val="none"/>
        </w:rPr>
        <w:t xml:space="preserve"> </w:t>
      </w:r>
      <w:r>
        <w:rPr>
          <w:color w:val="auto"/>
          <w:sz w:val="24"/>
          <w:szCs w:val="24"/>
          <w:highlight w:val="none"/>
        </w:rPr>
        <w:t>经营期限：</w:t>
      </w:r>
      <w:r>
        <w:rPr>
          <w:rFonts w:ascii="Times New Roman" w:hAnsi="Times New Roman" w:eastAsia="Times New Roman" w:cs="Times New Roman"/>
          <w:color w:val="auto"/>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u w:val="single" w:color="000000"/>
        </w:rPr>
        <w:tab/>
      </w:r>
    </w:p>
    <w:p>
      <w:pPr>
        <w:pStyle w:val="9"/>
        <w:keepNext w:val="0"/>
        <w:keepLines w:val="0"/>
        <w:pageBreakBefore w:val="0"/>
        <w:widowControl w:val="0"/>
        <w:tabs>
          <w:tab w:val="left" w:pos="1628"/>
          <w:tab w:val="left" w:pos="3308"/>
          <w:tab w:val="left" w:pos="3414"/>
          <w:tab w:val="left" w:pos="4831"/>
          <w:tab w:val="left" w:pos="6354"/>
        </w:tabs>
        <w:kinsoku/>
        <w:wordWrap/>
        <w:overflowPunct/>
        <w:topLinePunct w:val="0"/>
        <w:autoSpaceDE/>
        <w:autoSpaceDN/>
        <w:bidi w:val="0"/>
        <w:adjustRightInd w:val="0"/>
        <w:snapToGrid w:val="0"/>
        <w:spacing w:line="360" w:lineRule="auto"/>
        <w:ind w:left="0" w:right="0" w:firstLine="456" w:firstLineChars="200"/>
        <w:jc w:val="both"/>
        <w:textAlignment w:val="auto"/>
        <w:rPr>
          <w:color w:val="auto"/>
          <w:sz w:val="24"/>
          <w:szCs w:val="24"/>
          <w:highlight w:val="none"/>
        </w:rPr>
      </w:pPr>
      <w:r>
        <w:rPr>
          <w:color w:val="auto"/>
          <w:w w:val="95"/>
          <w:sz w:val="24"/>
          <w:szCs w:val="24"/>
          <w:highlight w:val="none"/>
        </w:rPr>
        <w:t>姓名：</w:t>
      </w:r>
      <w:r>
        <w:rPr>
          <w:rFonts w:ascii="Times New Roman" w:hAnsi="Times New Roman" w:eastAsia="Times New Roman" w:cs="Times New Roman"/>
          <w:color w:val="auto"/>
          <w:w w:val="95"/>
          <w:sz w:val="24"/>
          <w:szCs w:val="24"/>
          <w:highlight w:val="none"/>
          <w:u w:val="single" w:color="000000"/>
        </w:rPr>
        <w:tab/>
      </w:r>
      <w:r>
        <w:rPr>
          <w:color w:val="auto"/>
          <w:w w:val="95"/>
          <w:sz w:val="24"/>
          <w:szCs w:val="24"/>
          <w:highlight w:val="none"/>
        </w:rPr>
        <w:t>性别：</w:t>
      </w:r>
      <w:r>
        <w:rPr>
          <w:rFonts w:ascii="Times New Roman" w:hAnsi="Times New Roman" w:eastAsia="Times New Roman" w:cs="Times New Roman"/>
          <w:color w:val="auto"/>
          <w:w w:val="95"/>
          <w:sz w:val="24"/>
          <w:szCs w:val="24"/>
          <w:highlight w:val="none"/>
          <w:u w:val="single" w:color="000000"/>
        </w:rPr>
        <w:tab/>
      </w:r>
      <w:r>
        <w:rPr>
          <w:color w:val="auto"/>
          <w:w w:val="95"/>
          <w:sz w:val="24"/>
          <w:szCs w:val="24"/>
          <w:highlight w:val="none"/>
        </w:rPr>
        <w:t>年龄：</w:t>
      </w:r>
      <w:r>
        <w:rPr>
          <w:rFonts w:ascii="Times New Roman" w:hAnsi="Times New Roman" w:eastAsia="Times New Roman" w:cs="Times New Roman"/>
          <w:color w:val="auto"/>
          <w:w w:val="95"/>
          <w:sz w:val="24"/>
          <w:szCs w:val="24"/>
          <w:highlight w:val="none"/>
          <w:u w:val="single" w:color="000000"/>
        </w:rPr>
        <w:tab/>
      </w:r>
      <w:r>
        <w:rPr>
          <w:color w:val="auto"/>
          <w:sz w:val="24"/>
          <w:szCs w:val="24"/>
          <w:highlight w:val="none"/>
        </w:rPr>
        <w:t>职务：</w:t>
      </w: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rFonts w:ascii="Times New Roman" w:hAnsi="Times New Roman" w:eastAsia="Times New Roman" w:cs="Times New Roman"/>
          <w:color w:val="auto"/>
          <w:sz w:val="24"/>
          <w:szCs w:val="24"/>
          <w:highlight w:val="none"/>
        </w:rPr>
        <w:t xml:space="preserve"> </w:t>
      </w:r>
      <w:r>
        <w:rPr>
          <w:color w:val="auto"/>
          <w:spacing w:val="-1"/>
          <w:w w:val="95"/>
          <w:sz w:val="24"/>
          <w:szCs w:val="24"/>
          <w:highlight w:val="none"/>
        </w:rPr>
        <w:t>系</w:t>
      </w:r>
      <w:r>
        <w:rPr>
          <w:rFonts w:ascii="Times New Roman" w:hAnsi="Times New Roman" w:eastAsia="Times New Roman" w:cs="Times New Roman"/>
          <w:color w:val="auto"/>
          <w:spacing w:val="-1"/>
          <w:w w:val="95"/>
          <w:sz w:val="24"/>
          <w:szCs w:val="24"/>
          <w:highlight w:val="none"/>
          <w:u w:val="single" w:color="000000"/>
        </w:rPr>
        <w:tab/>
      </w:r>
      <w:r>
        <w:rPr>
          <w:rFonts w:ascii="Times New Roman" w:hAnsi="Times New Roman" w:eastAsia="Times New Roman" w:cs="Times New Roman"/>
          <w:color w:val="auto"/>
          <w:spacing w:val="-1"/>
          <w:w w:val="95"/>
          <w:sz w:val="24"/>
          <w:szCs w:val="24"/>
          <w:highlight w:val="none"/>
          <w:u w:val="single" w:color="000000"/>
        </w:rPr>
        <w:tab/>
      </w:r>
      <w:r>
        <w:rPr>
          <w:color w:val="auto"/>
          <w:sz w:val="24"/>
          <w:szCs w:val="24"/>
          <w:highlight w:val="none"/>
        </w:rPr>
        <w:t>（投标人名称）的法定代表人。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特此证明。</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附：法定代表人（单位负责人）身份证复印件。</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pPr>
        <w:pStyle w:val="9"/>
        <w:keepNext w:val="0"/>
        <w:keepLines w:val="0"/>
        <w:pageBreakBefore w:val="0"/>
        <w:widowControl w:val="0"/>
        <w:tabs>
          <w:tab w:val="left" w:pos="7635"/>
        </w:tabs>
        <w:kinsoku/>
        <w:wordWrap w:val="0"/>
        <w:overflowPunct/>
        <w:bidi w:val="0"/>
        <w:adjustRightInd w:val="0"/>
        <w:snapToGrid w:val="0"/>
        <w:spacing w:line="360" w:lineRule="auto"/>
        <w:ind w:left="0" w:right="0" w:firstLine="0" w:firstLineChars="0"/>
        <w:jc w:val="right"/>
        <w:textAlignment w:val="auto"/>
        <w:rPr>
          <w:rFonts w:hint="default" w:eastAsia="宋体"/>
          <w:color w:val="auto"/>
          <w:sz w:val="24"/>
          <w:szCs w:val="24"/>
          <w:highlight w:val="none"/>
          <w:lang w:val="en-US" w:eastAsia="zh-CN"/>
        </w:rPr>
      </w:pPr>
      <w:r>
        <w:rPr>
          <w:color w:val="auto"/>
          <w:w w:val="95"/>
          <w:sz w:val="24"/>
          <w:szCs w:val="24"/>
          <w:highlight w:val="none"/>
        </w:rPr>
        <w:t>投标人：</w:t>
      </w:r>
      <w:r>
        <w:rPr>
          <w:rFonts w:hint="eastAsia"/>
          <w:color w:val="auto"/>
          <w:w w:val="95"/>
          <w:sz w:val="24"/>
          <w:szCs w:val="24"/>
          <w:highlight w:val="none"/>
          <w:u w:val="single"/>
          <w:lang w:val="en-US" w:eastAsia="zh-CN"/>
        </w:rPr>
        <w:t xml:space="preserve">                         </w:t>
      </w:r>
      <w:r>
        <w:rPr>
          <w:color w:val="auto"/>
          <w:sz w:val="24"/>
          <w:szCs w:val="24"/>
          <w:highlight w:val="none"/>
        </w:rPr>
        <w:t>（</w:t>
      </w:r>
      <w:r>
        <w:rPr>
          <w:rFonts w:hint="eastAsia"/>
          <w:color w:val="auto"/>
          <w:sz w:val="24"/>
          <w:szCs w:val="24"/>
          <w:highlight w:val="none"/>
        </w:rPr>
        <w:t>电子签章</w:t>
      </w:r>
      <w:r>
        <w:rPr>
          <w:color w:val="auto"/>
          <w:sz w:val="24"/>
          <w:szCs w:val="24"/>
          <w:highlight w:val="none"/>
        </w:rPr>
        <w:t>）</w:t>
      </w:r>
      <w:r>
        <w:rPr>
          <w:rFonts w:hint="eastAsia"/>
          <w:color w:val="auto"/>
          <w:sz w:val="24"/>
          <w:szCs w:val="24"/>
          <w:highlight w:val="none"/>
          <w:lang w:val="en-US" w:eastAsia="zh-CN"/>
        </w:rPr>
        <w:t xml:space="preserve">    </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pPr>
        <w:pStyle w:val="9"/>
        <w:keepNext w:val="0"/>
        <w:keepLines w:val="0"/>
        <w:pageBreakBefore w:val="0"/>
        <w:widowControl w:val="0"/>
        <w:tabs>
          <w:tab w:val="left" w:pos="735"/>
          <w:tab w:val="left" w:pos="1680"/>
          <w:tab w:val="left" w:pos="2623"/>
        </w:tabs>
        <w:kinsoku/>
        <w:wordWrap w:val="0"/>
        <w:overflowPunct/>
        <w:bidi w:val="0"/>
        <w:adjustRightInd w:val="0"/>
        <w:snapToGrid w:val="0"/>
        <w:spacing w:line="360" w:lineRule="auto"/>
        <w:ind w:left="0" w:right="0" w:firstLine="0" w:firstLineChars="0"/>
        <w:jc w:val="right"/>
        <w:textAlignment w:val="auto"/>
        <w:rPr>
          <w:rFonts w:hint="default" w:eastAsia="宋体"/>
          <w:color w:val="auto"/>
          <w:sz w:val="21"/>
          <w:szCs w:val="21"/>
          <w:highlight w:val="none"/>
          <w:lang w:val="en-US" w:eastAsia="zh-CN"/>
        </w:rPr>
      </w:pPr>
      <w:r>
        <w:rPr>
          <w:rFonts w:ascii="Times New Roman" w:hAnsi="Times New Roman" w:eastAsia="Times New Roman" w:cs="Times New Roman"/>
          <w:color w:val="auto"/>
          <w:w w:val="99"/>
          <w:sz w:val="24"/>
          <w:szCs w:val="24"/>
          <w:highlight w:val="none"/>
          <w:u w:val="single" w:color="000000"/>
        </w:rPr>
        <w:t xml:space="preserve"> </w:t>
      </w:r>
      <w:r>
        <w:rPr>
          <w:rFonts w:ascii="Times New Roman" w:hAnsi="Times New Roman" w:eastAsia="Times New Roman" w:cs="Times New Roman"/>
          <w:color w:val="auto"/>
          <w:sz w:val="24"/>
          <w:szCs w:val="24"/>
          <w:highlight w:val="none"/>
          <w:u w:val="single" w:color="000000"/>
        </w:rPr>
        <w:tab/>
      </w:r>
      <w:r>
        <w:rPr>
          <w:color w:val="auto"/>
          <w:spacing w:val="-1"/>
          <w:w w:val="95"/>
          <w:sz w:val="24"/>
          <w:szCs w:val="24"/>
          <w:highlight w:val="none"/>
        </w:rPr>
        <w:t>年</w:t>
      </w:r>
      <w:r>
        <w:rPr>
          <w:rFonts w:ascii="Times New Roman" w:hAnsi="Times New Roman" w:eastAsia="Times New Roman" w:cs="Times New Roman"/>
          <w:color w:val="auto"/>
          <w:spacing w:val="-1"/>
          <w:w w:val="95"/>
          <w:sz w:val="24"/>
          <w:szCs w:val="24"/>
          <w:highlight w:val="none"/>
          <w:u w:val="single" w:color="000000"/>
        </w:rPr>
        <w:tab/>
      </w:r>
      <w:r>
        <w:rPr>
          <w:color w:val="auto"/>
          <w:spacing w:val="-1"/>
          <w:w w:val="95"/>
          <w:sz w:val="24"/>
          <w:szCs w:val="24"/>
          <w:highlight w:val="none"/>
        </w:rPr>
        <w:t>月</w:t>
      </w:r>
      <w:r>
        <w:rPr>
          <w:rFonts w:ascii="Times New Roman" w:hAnsi="Times New Roman" w:eastAsia="Times New Roman" w:cs="Times New Roman"/>
          <w:color w:val="auto"/>
          <w:spacing w:val="-1"/>
          <w:w w:val="95"/>
          <w:sz w:val="24"/>
          <w:szCs w:val="24"/>
          <w:highlight w:val="none"/>
          <w:u w:val="single" w:color="000000"/>
        </w:rPr>
        <w:tab/>
      </w:r>
      <w:r>
        <w:rPr>
          <w:color w:val="auto"/>
          <w:w w:val="95"/>
          <w:sz w:val="24"/>
          <w:szCs w:val="24"/>
          <w:highlight w:val="none"/>
        </w:rPr>
        <w:t>日</w:t>
      </w:r>
      <w:r>
        <w:rPr>
          <w:rFonts w:hint="eastAsia"/>
          <w:color w:val="auto"/>
          <w:w w:val="95"/>
          <w:sz w:val="24"/>
          <w:szCs w:val="24"/>
          <w:highlight w:val="none"/>
          <w:lang w:val="en-US" w:eastAsia="zh-CN"/>
        </w:rPr>
        <w:t xml:space="preserve">              </w:t>
      </w:r>
    </w:p>
    <w:p>
      <w:pPr>
        <w:keepNext w:val="0"/>
        <w:keepLines w:val="0"/>
        <w:pageBreakBefore w:val="0"/>
        <w:widowControl w:val="0"/>
        <w:kinsoku/>
        <w:wordWrap/>
        <w:overflowPunct/>
        <w:bidi w:val="0"/>
        <w:adjustRightInd w:val="0"/>
        <w:snapToGrid w:val="0"/>
        <w:spacing w:after="0" w:line="360" w:lineRule="auto"/>
        <w:ind w:left="0" w:right="0" w:firstLine="0" w:firstLineChars="0"/>
        <w:jc w:val="right"/>
        <w:textAlignment w:val="auto"/>
        <w:rPr>
          <w:color w:val="auto"/>
          <w:sz w:val="21"/>
          <w:szCs w:val="21"/>
          <w:highlight w:val="none"/>
        </w:rPr>
        <w:sectPr>
          <w:pgSz w:w="11910" w:h="16840"/>
          <w:pgMar w:top="1580" w:right="1420" w:bottom="1480" w:left="1480" w:header="0" w:footer="129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532" w:name="_bookmark279"/>
      <w:bookmarkEnd w:id="532"/>
      <w:bookmarkStart w:id="533" w:name="二、授权委托书"/>
      <w:bookmarkEnd w:id="533"/>
      <w:bookmarkStart w:id="534" w:name="_bookmark278"/>
      <w:bookmarkEnd w:id="534"/>
      <w:bookmarkStart w:id="535" w:name="三、联合体协议书"/>
      <w:bookmarkEnd w:id="535"/>
      <w:bookmarkStart w:id="536" w:name="_Toc2481"/>
      <w:bookmarkStart w:id="537" w:name="_Toc26780"/>
      <w:r>
        <w:rPr>
          <w:rFonts w:hint="eastAsia" w:ascii="黑体" w:hAnsi="黑体" w:eastAsia="黑体" w:cs="黑体"/>
          <w:color w:val="auto"/>
          <w:sz w:val="32"/>
          <w:szCs w:val="32"/>
          <w:highlight w:val="none"/>
          <w:lang w:eastAsia="zh-CN"/>
        </w:rPr>
        <w:t>三</w:t>
      </w:r>
      <w:r>
        <w:rPr>
          <w:rFonts w:ascii="黑体" w:hAnsi="黑体" w:eastAsia="黑体" w:cs="黑体"/>
          <w:color w:val="auto"/>
          <w:sz w:val="32"/>
          <w:szCs w:val="32"/>
          <w:highlight w:val="none"/>
        </w:rPr>
        <w:t>、授权委托书</w:t>
      </w:r>
      <w:bookmarkEnd w:id="536"/>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auto"/>
        <w:rPr>
          <w:rFonts w:ascii="黑体" w:hAnsi="黑体" w:eastAsia="黑体" w:cs="黑体"/>
          <w:color w:val="auto"/>
          <w:spacing w:val="0"/>
          <w:w w:val="100"/>
          <w:sz w:val="21"/>
          <w:szCs w:val="21"/>
          <w:highlight w:val="none"/>
        </w:rPr>
      </w:pPr>
    </w:p>
    <w:p>
      <w:pPr>
        <w:pStyle w:val="9"/>
        <w:keepNext w:val="0"/>
        <w:keepLines w:val="0"/>
        <w:pageBreakBefore w:val="0"/>
        <w:widowControl w:val="0"/>
        <w:tabs>
          <w:tab w:val="left" w:pos="1695"/>
          <w:tab w:val="left" w:pos="3603"/>
          <w:tab w:val="left" w:pos="8050"/>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mc:AlternateContent>
          <mc:Choice Requires="wpg">
            <w:drawing>
              <wp:anchor distT="0" distB="0" distL="114300" distR="114300" simplePos="0" relativeHeight="251661312" behindDoc="0" locked="0" layoutInCell="1" allowOverlap="1">
                <wp:simplePos x="0" y="0"/>
                <wp:positionH relativeFrom="page">
                  <wp:posOffset>6586855</wp:posOffset>
                </wp:positionH>
                <wp:positionV relativeFrom="paragraph">
                  <wp:posOffset>421005</wp:posOffset>
                </wp:positionV>
                <wp:extent cx="1270" cy="6350"/>
                <wp:effectExtent l="0" t="0" r="0" b="0"/>
                <wp:wrapNone/>
                <wp:docPr id="4" name="组合 52"/>
                <wp:cNvGraphicFramePr/>
                <a:graphic xmlns:a="http://schemas.openxmlformats.org/drawingml/2006/main">
                  <a:graphicData uri="http://schemas.microsoft.com/office/word/2010/wordprocessingGroup">
                    <wpg:wgp>
                      <wpg:cNvGrpSpPr/>
                      <wpg:grpSpPr>
                        <a:xfrm>
                          <a:off x="0" y="0"/>
                          <a:ext cx="1270" cy="6350"/>
                          <a:chOff x="10373" y="664"/>
                          <a:chExt cx="2" cy="10"/>
                        </a:xfrm>
                      </wpg:grpSpPr>
                      <wps:wsp>
                        <wps:cNvPr id="16" name="任意多边形 53"/>
                        <wps:cNvSpPr/>
                        <wps:spPr>
                          <a:xfrm>
                            <a:off x="10373" y="664"/>
                            <a:ext cx="2" cy="10"/>
                          </a:xfrm>
                          <a:custGeom>
                            <a:avLst/>
                            <a:gdLst/>
                            <a:ahLst/>
                            <a:cxnLst/>
                            <a:pathLst>
                              <a:path h="10">
                                <a:moveTo>
                                  <a:pt x="0" y="0"/>
                                </a:moveTo>
                                <a:lnTo>
                                  <a:pt x="0" y="9"/>
                                </a:lnTo>
                              </a:path>
                            </a:pathLst>
                          </a:custGeom>
                          <a:noFill/>
                          <a:ln w="1905" cap="flat" cmpd="sng">
                            <a:solidFill>
                              <a:srgbClr val="000000"/>
                            </a:solidFill>
                            <a:prstDash val="solid"/>
                            <a:headEnd type="none" w="med" len="med"/>
                            <a:tailEnd type="none" w="med" len="med"/>
                          </a:ln>
                        </wps:spPr>
                        <wps:bodyPr upright="true"/>
                      </wps:wsp>
                    </wpg:wgp>
                  </a:graphicData>
                </a:graphic>
              </wp:anchor>
            </w:drawing>
          </mc:Choice>
          <mc:Fallback>
            <w:pict>
              <v:group id="组合 52" o:spid="_x0000_s1026" o:spt="203" style="position:absolute;left:0pt;margin-left:518.65pt;margin-top:33.15pt;height:0.5pt;width:0.1pt;mso-position-horizontal-relative:page;z-index:251661312;mso-width-relative:page;mso-height-relative:page;" coordorigin="10373,664" coordsize="2,10" o:gfxdata="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FgAAAGRycy9QSwECFAAUAAAACACHTuJAy0UyCtcAAAALAQAADwAAAAAA&#10;AAABACAAAAA4AAAAZHJzL2Rvd25yZXYueG1sUEsBAhQAFAAAAAgAh07iQMrHwRVwAgAAXAUAAA4A&#10;AAAAAAAAAQAgAAAAPAEAAGRycy9lMm9Eb2MueG1sUEsFBgAAAAAGAAYAWQEAAB4GAAAAAA==&#10;">
                <o:lock v:ext="edit" aspectratio="f"/>
                <v:shape id="任意多边形 53" o:spid="_x0000_s1026" o:spt="100" style="position:absolute;left:10373;top:664;height:10;width:2;" filled="f" stroked="t" coordsize="1,10" o:gfxdata="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SSMUr0AAADbAAAADwAAAAAAAAABACAAAAA4AAAAZHJzL2Rvd25yZXYu&#10;eG1sUEsBAhQAFAAAAAgAh07iQDMvBZ47AAAAOQAAABAAAAAAAAAAAQAgAAAAIgEAAGRycy9zaGFw&#10;ZXhtbC54bWxQSwUGAAAAAAYABgBbAQAAzAMAAAAA&#10;" path="m0,0l0,9e">
                  <v:fill on="f" focussize="0,0"/>
                  <v:stroke weight="0.15pt" color="#000000" joinstyle="round"/>
                  <v:imagedata o:title=""/>
                  <o:lock v:ext="edit" aspectratio="f"/>
                </v:shape>
              </v:group>
            </w:pict>
          </mc:Fallback>
        </mc:AlternateContent>
      </w:r>
      <w:r>
        <w:rPr>
          <w:color w:val="auto"/>
          <w:spacing w:val="0"/>
          <w:w w:val="100"/>
          <w:sz w:val="24"/>
          <w:szCs w:val="24"/>
          <w:highlight w:val="none"/>
        </w:rPr>
        <w:t>本人</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（姓名）系</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（投标人名称）的法定代表人，现委托</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（姓名）为我方代理人。代理人根据授权，以我方名义签署、澄清、说明、补正、递交、撤回、修改</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（项目名称</w:t>
      </w:r>
      <w:r>
        <w:rPr>
          <w:color w:val="auto"/>
          <w:spacing w:val="0"/>
          <w:w w:val="100"/>
          <w:sz w:val="24"/>
          <w:szCs w:val="24"/>
          <w:highlight w:val="none"/>
          <w:u w:val="single" w:color="000000"/>
        </w:rPr>
        <w:t>）</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标段投标文件、签订合同和处理有关事宜，其法律后果由我方承担。委托期限：</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代理人无转委托权。</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附：法定代表人（单位负责人）身份证复印件及委托代理人身份证复印件、聘任合同复印件和社保证明复印件。</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ascii="宋体" w:hAnsi="宋体" w:eastAsia="宋体" w:cs="宋体"/>
          <w:color w:val="auto"/>
          <w:spacing w:val="0"/>
          <w:w w:val="100"/>
          <w:sz w:val="24"/>
          <w:szCs w:val="24"/>
          <w:highlight w:val="none"/>
        </w:rPr>
      </w:pPr>
    </w:p>
    <w:p>
      <w:pPr>
        <w:pStyle w:val="9"/>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投标人：</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r>
        <w:rPr>
          <w:rFonts w:hint="eastAsia"/>
          <w:color w:val="auto"/>
          <w:spacing w:val="0"/>
          <w:w w:val="100"/>
          <w:sz w:val="24"/>
          <w:szCs w:val="24"/>
          <w:highlight w:val="none"/>
        </w:rPr>
        <w:t>电子签章</w:t>
      </w:r>
      <w:r>
        <w:rPr>
          <w:color w:val="auto"/>
          <w:spacing w:val="0"/>
          <w:w w:val="100"/>
          <w:sz w:val="24"/>
          <w:szCs w:val="24"/>
          <w:highlight w:val="none"/>
        </w:rPr>
        <w:t>）</w:t>
      </w:r>
    </w:p>
    <w:p>
      <w:pPr>
        <w:pStyle w:val="9"/>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p>
    <w:p>
      <w:pPr>
        <w:pStyle w:val="9"/>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法定代表人：</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r>
        <w:rPr>
          <w:rFonts w:hint="eastAsia"/>
          <w:color w:val="auto"/>
          <w:spacing w:val="0"/>
          <w:w w:val="100"/>
          <w:sz w:val="24"/>
          <w:szCs w:val="24"/>
          <w:highlight w:val="none"/>
        </w:rPr>
        <w:t>电子签章</w:t>
      </w:r>
      <w:r>
        <w:rPr>
          <w:color w:val="auto"/>
          <w:spacing w:val="0"/>
          <w:w w:val="100"/>
          <w:sz w:val="24"/>
          <w:szCs w:val="24"/>
          <w:highlight w:val="none"/>
        </w:rPr>
        <w:t>）</w:t>
      </w:r>
    </w:p>
    <w:p>
      <w:pPr>
        <w:pStyle w:val="9"/>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p>
    <w:p>
      <w:pPr>
        <w:pStyle w:val="9"/>
        <w:keepNext w:val="0"/>
        <w:keepLines w:val="0"/>
        <w:pageBreakBefore w:val="0"/>
        <w:widowControl w:val="0"/>
        <w:tabs>
          <w:tab w:val="left" w:pos="4203"/>
          <w:tab w:val="left" w:pos="4623"/>
          <w:tab w:val="left" w:pos="5303"/>
        </w:tabs>
        <w:kinsoku/>
        <w:wordWrap/>
        <w:overflowPunct/>
        <w:topLinePunct w:val="0"/>
        <w:autoSpaceDE/>
        <w:autoSpaceDN/>
        <w:bidi w:val="0"/>
        <w:adjustRightInd w:val="0"/>
        <w:snapToGrid w:val="0"/>
        <w:spacing w:line="360" w:lineRule="auto"/>
        <w:ind w:left="0" w:right="0" w:firstLine="480" w:firstLineChars="200"/>
        <w:jc w:val="both"/>
        <w:textAlignment w:val="auto"/>
        <w:rPr>
          <w:rFonts w:ascii="Times New Roman" w:hAnsi="Times New Roman" w:eastAsia="Times New Roman" w:cs="Times New Roman"/>
          <w:color w:val="auto"/>
          <w:spacing w:val="0"/>
          <w:w w:val="100"/>
          <w:sz w:val="24"/>
          <w:szCs w:val="24"/>
          <w:highlight w:val="none"/>
        </w:rPr>
      </w:pPr>
      <w:r>
        <w:rPr>
          <w:color w:val="auto"/>
          <w:spacing w:val="0"/>
          <w:w w:val="100"/>
          <w:sz w:val="24"/>
          <w:szCs w:val="24"/>
          <w:highlight w:val="none"/>
        </w:rPr>
        <w:t>身份证号码：</w:t>
      </w:r>
      <w:r>
        <w:rPr>
          <w:rFonts w:ascii="Times New Roman" w:hAnsi="Times New Roman" w:eastAsia="Times New Roman" w:cs="Times New Roman"/>
          <w:color w:val="auto"/>
          <w:spacing w:val="0"/>
          <w:w w:val="100"/>
          <w:sz w:val="24"/>
          <w:szCs w:val="24"/>
          <w:highlight w:val="none"/>
          <w:u w:val="single" w:color="000000"/>
        </w:rPr>
        <w:t xml:space="preserve"> </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p>
    <w:p>
      <w:pPr>
        <w:pStyle w:val="9"/>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p>
    <w:p>
      <w:pPr>
        <w:pStyle w:val="9"/>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委托代理人：</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（签字）</w:t>
      </w:r>
    </w:p>
    <w:p>
      <w:pPr>
        <w:pStyle w:val="9"/>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p>
    <w:p>
      <w:pPr>
        <w:pStyle w:val="9"/>
        <w:keepNext w:val="0"/>
        <w:keepLines w:val="0"/>
        <w:pageBreakBefore w:val="0"/>
        <w:widowControl w:val="0"/>
        <w:tabs>
          <w:tab w:val="left" w:pos="4517"/>
          <w:tab w:val="left" w:pos="5303"/>
        </w:tabs>
        <w:kinsoku/>
        <w:wordWrap/>
        <w:overflowPunct/>
        <w:topLinePunct w:val="0"/>
        <w:autoSpaceDE/>
        <w:autoSpaceDN/>
        <w:bidi w:val="0"/>
        <w:adjustRightInd w:val="0"/>
        <w:snapToGrid w:val="0"/>
        <w:spacing w:line="360" w:lineRule="auto"/>
        <w:ind w:left="0" w:right="0" w:firstLine="480" w:firstLineChars="200"/>
        <w:jc w:val="left"/>
        <w:textAlignment w:val="auto"/>
        <w:rPr>
          <w:rFonts w:ascii="Times New Roman" w:hAnsi="Times New Roman" w:eastAsia="Times New Roman" w:cs="Times New Roman"/>
          <w:color w:val="auto"/>
          <w:spacing w:val="0"/>
          <w:w w:val="100"/>
          <w:sz w:val="24"/>
          <w:szCs w:val="24"/>
          <w:highlight w:val="none"/>
        </w:rPr>
      </w:pPr>
      <w:r>
        <w:rPr>
          <w:color w:val="auto"/>
          <w:spacing w:val="0"/>
          <w:w w:val="100"/>
          <w:sz w:val="24"/>
          <w:szCs w:val="24"/>
          <w:highlight w:val="none"/>
        </w:rPr>
        <w:t>身份证号码：</w:t>
      </w:r>
      <w:r>
        <w:rPr>
          <w:rFonts w:ascii="Times New Roman" w:hAnsi="Times New Roman" w:eastAsia="Times New Roman" w:cs="Times New Roman"/>
          <w:color w:val="auto"/>
          <w:spacing w:val="0"/>
          <w:w w:val="100"/>
          <w:sz w:val="24"/>
          <w:szCs w:val="24"/>
          <w:highlight w:val="none"/>
          <w:u w:val="single" w:color="000000"/>
        </w:rPr>
        <w:t xml:space="preserve"> </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pacing w:val="0"/>
          <w:w w:val="10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Times New Roman" w:hAnsi="Times New Roman" w:eastAsia="Times New Roman" w:cs="Times New Roman"/>
          <w:color w:val="auto"/>
          <w:spacing w:val="0"/>
          <w:w w:val="100"/>
          <w:sz w:val="24"/>
          <w:szCs w:val="24"/>
          <w:highlight w:val="none"/>
        </w:rPr>
      </w:pPr>
    </w:p>
    <w:p>
      <w:pPr>
        <w:pStyle w:val="9"/>
        <w:keepNext w:val="0"/>
        <w:keepLines w:val="0"/>
        <w:pageBreakBefore w:val="0"/>
        <w:widowControl w:val="0"/>
        <w:tabs>
          <w:tab w:val="left" w:pos="6089"/>
          <w:tab w:val="left" w:pos="7032"/>
          <w:tab w:val="left" w:pos="7978"/>
        </w:tabs>
        <w:kinsoku/>
        <w:wordWrap/>
        <w:overflowPunct/>
        <w:topLinePunct w:val="0"/>
        <w:autoSpaceDE/>
        <w:autoSpaceDN/>
        <w:bidi w:val="0"/>
        <w:adjustRightInd w:val="0"/>
        <w:snapToGrid w:val="0"/>
        <w:spacing w:line="360" w:lineRule="auto"/>
        <w:ind w:left="0" w:right="0" w:firstLine="2160" w:firstLineChars="900"/>
        <w:jc w:val="both"/>
        <w:textAlignment w:val="auto"/>
        <w:rPr>
          <w:color w:val="auto"/>
          <w:spacing w:val="0"/>
          <w:w w:val="100"/>
          <w:sz w:val="24"/>
          <w:szCs w:val="24"/>
          <w:highlight w:val="none"/>
        </w:rPr>
      </w:pP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年</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月</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480" w:firstLineChars="200"/>
        <w:jc w:val="both"/>
        <w:textAlignment w:val="auto"/>
        <w:rPr>
          <w:color w:val="auto"/>
          <w:spacing w:val="0"/>
          <w:w w:val="100"/>
          <w:sz w:val="24"/>
          <w:szCs w:val="24"/>
          <w:highlight w:val="none"/>
        </w:rPr>
        <w:sectPr>
          <w:pgSz w:w="11910" w:h="16840"/>
          <w:pgMar w:top="1580" w:right="1220" w:bottom="1480" w:left="1480" w:header="0" w:footer="129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4"/>
          <w:szCs w:val="14"/>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ascii="黑体" w:hAnsi="黑体" w:eastAsia="黑体" w:cs="黑体"/>
          <w:color w:val="auto"/>
          <w:sz w:val="32"/>
          <w:szCs w:val="32"/>
          <w:highlight w:val="none"/>
        </w:rPr>
        <w:t>、联合体协议书</w:t>
      </w:r>
      <w:bookmarkEnd w:id="537"/>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0"/>
          <w:szCs w:val="20"/>
          <w:highlight w:val="none"/>
        </w:rPr>
      </w:pPr>
    </w:p>
    <w:p>
      <w:pPr>
        <w:pStyle w:val="9"/>
        <w:keepNext w:val="0"/>
        <w:keepLines w:val="0"/>
        <w:pageBreakBefore w:val="0"/>
        <w:widowControl w:val="0"/>
        <w:tabs>
          <w:tab w:val="left" w:pos="1263"/>
          <w:tab w:val="left" w:pos="1577"/>
          <w:tab w:val="left" w:pos="4819"/>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rFonts w:ascii="Times New Roman" w:hAnsi="Times New Roman" w:eastAsia="Times New Roman" w:cs="Times New Roman"/>
          <w:color w:val="auto"/>
          <w:spacing w:val="0"/>
          <w:w w:val="100"/>
          <w:sz w:val="24"/>
          <w:szCs w:val="24"/>
          <w:highlight w:val="none"/>
          <w:u w:val="single" w:color="000000"/>
        </w:rPr>
        <w:t xml:space="preserve"> </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（所有成员单位名称）自愿组成</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（联合体名称）联合体，共同参加</w:t>
      </w:r>
      <w:r>
        <w:rPr>
          <w:color w:val="auto"/>
          <w:spacing w:val="0"/>
          <w:w w:val="100"/>
          <w:sz w:val="24"/>
          <w:szCs w:val="24"/>
          <w:highlight w:val="none"/>
          <w:u w:val="single"/>
        </w:rPr>
        <w:t xml:space="preserve">    </w:t>
      </w:r>
      <w:r>
        <w:rPr>
          <w:color w:val="auto"/>
          <w:spacing w:val="0"/>
          <w:w w:val="100"/>
          <w:sz w:val="24"/>
          <w:szCs w:val="24"/>
          <w:highlight w:val="none"/>
        </w:rPr>
        <w:t>（项目名称）</w:t>
      </w:r>
      <w:r>
        <w:rPr>
          <w:rFonts w:ascii="Times New Roman" w:hAnsi="Times New Roman" w:eastAsia="Times New Roman" w:cs="Times New Roman"/>
          <w:color w:val="auto"/>
          <w:spacing w:val="0"/>
          <w:w w:val="100"/>
          <w:sz w:val="24"/>
          <w:szCs w:val="24"/>
          <w:highlight w:val="none"/>
          <w:u w:val="single" w:color="000000"/>
        </w:rPr>
        <w:tab/>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标段投标。现就联合体投标事宜订立如下协议。</w:t>
      </w:r>
    </w:p>
    <w:p>
      <w:pPr>
        <w:pStyle w:val="9"/>
        <w:keepNext w:val="0"/>
        <w:keepLines w:val="0"/>
        <w:pageBreakBefore w:val="0"/>
        <w:widowControl w:val="0"/>
        <w:tabs>
          <w:tab w:val="left" w:pos="1577"/>
          <w:tab w:val="left" w:pos="4203"/>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1</w:t>
      </w:r>
      <w:r>
        <w:rPr>
          <w:rFonts w:hint="eastAsia"/>
          <w:color w:val="auto"/>
          <w:spacing w:val="0"/>
          <w:w w:val="100"/>
          <w:sz w:val="24"/>
          <w:szCs w:val="24"/>
          <w:highlight w:val="none"/>
          <w:lang w:val="en-US" w:eastAsia="zh-CN"/>
        </w:rPr>
        <w:t>.</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（某成员单位名称）为</w:t>
      </w:r>
      <w:r>
        <w:rPr>
          <w:rFonts w:ascii="Times New Roman" w:hAnsi="Times New Roman" w:eastAsia="Times New Roman" w:cs="Times New Roman"/>
          <w:color w:val="auto"/>
          <w:spacing w:val="0"/>
          <w:w w:val="100"/>
          <w:sz w:val="24"/>
          <w:szCs w:val="24"/>
          <w:highlight w:val="none"/>
          <w:u w:val="single" w:color="000000"/>
        </w:rPr>
        <w:tab/>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（联合体名称）牵头人。</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2</w:t>
      </w:r>
      <w:r>
        <w:rPr>
          <w:rFonts w:hint="eastAsia"/>
          <w:color w:val="auto"/>
          <w:spacing w:val="0"/>
          <w:w w:val="100"/>
          <w:sz w:val="24"/>
          <w:szCs w:val="24"/>
          <w:highlight w:val="none"/>
          <w:lang w:val="en-US" w:eastAsia="zh-CN"/>
        </w:rPr>
        <w:t>.</w:t>
      </w:r>
      <w:r>
        <w:rPr>
          <w:color w:val="auto"/>
          <w:spacing w:val="0"/>
          <w:w w:val="100"/>
          <w:sz w:val="24"/>
          <w:szCs w:val="24"/>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3</w:t>
      </w:r>
      <w:r>
        <w:rPr>
          <w:rFonts w:hint="eastAsia"/>
          <w:color w:val="auto"/>
          <w:spacing w:val="0"/>
          <w:w w:val="100"/>
          <w:sz w:val="24"/>
          <w:szCs w:val="24"/>
          <w:highlight w:val="none"/>
          <w:lang w:val="en-US" w:eastAsia="zh-CN"/>
        </w:rPr>
        <w:t>.</w:t>
      </w:r>
      <w:r>
        <w:rPr>
          <w:color w:val="auto"/>
          <w:spacing w:val="0"/>
          <w:w w:val="100"/>
          <w:sz w:val="24"/>
          <w:szCs w:val="24"/>
          <w:highlight w:val="none"/>
        </w:rPr>
        <w:t>联合体将严格按照招标文件的各项要求，递交投标文件，履行合同，并对外承担连带责任。</w:t>
      </w:r>
    </w:p>
    <w:p>
      <w:pPr>
        <w:pStyle w:val="9"/>
        <w:keepNext w:val="0"/>
        <w:keepLines w:val="0"/>
        <w:pageBreakBefore w:val="0"/>
        <w:widowControl w:val="0"/>
        <w:tabs>
          <w:tab w:val="left" w:pos="6459"/>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4</w:t>
      </w:r>
      <w:r>
        <w:rPr>
          <w:rFonts w:hint="eastAsia"/>
          <w:color w:val="auto"/>
          <w:spacing w:val="0"/>
          <w:w w:val="100"/>
          <w:sz w:val="24"/>
          <w:szCs w:val="24"/>
          <w:highlight w:val="none"/>
          <w:lang w:val="en-US" w:eastAsia="zh-CN"/>
        </w:rPr>
        <w:t>.</w:t>
      </w:r>
      <w:r>
        <w:rPr>
          <w:color w:val="auto"/>
          <w:spacing w:val="0"/>
          <w:w w:val="100"/>
          <w:sz w:val="24"/>
          <w:szCs w:val="24"/>
          <w:highlight w:val="none"/>
        </w:rPr>
        <w:t>联合体各成员单位内部的职责分工如下：</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5</w:t>
      </w:r>
      <w:r>
        <w:rPr>
          <w:rFonts w:hint="eastAsia"/>
          <w:color w:val="auto"/>
          <w:spacing w:val="0"/>
          <w:w w:val="100"/>
          <w:sz w:val="24"/>
          <w:szCs w:val="24"/>
          <w:highlight w:val="none"/>
          <w:lang w:val="en-US" w:eastAsia="zh-CN"/>
        </w:rPr>
        <w:t>.</w:t>
      </w:r>
      <w:r>
        <w:rPr>
          <w:color w:val="auto"/>
          <w:spacing w:val="0"/>
          <w:w w:val="100"/>
          <w:sz w:val="24"/>
          <w:szCs w:val="24"/>
          <w:highlight w:val="none"/>
        </w:rPr>
        <w:t>本协议书自签署之日起生效，合同履行完毕后自动失效。</w:t>
      </w:r>
    </w:p>
    <w:p>
      <w:pPr>
        <w:pStyle w:val="9"/>
        <w:keepNext w:val="0"/>
        <w:keepLines w:val="0"/>
        <w:pageBreakBefore w:val="0"/>
        <w:widowControl w:val="0"/>
        <w:tabs>
          <w:tab w:val="left" w:pos="2417"/>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6</w:t>
      </w:r>
      <w:r>
        <w:rPr>
          <w:rFonts w:hint="eastAsia"/>
          <w:color w:val="auto"/>
          <w:spacing w:val="0"/>
          <w:w w:val="100"/>
          <w:sz w:val="24"/>
          <w:szCs w:val="24"/>
          <w:highlight w:val="none"/>
          <w:lang w:val="en-US" w:eastAsia="zh-CN"/>
        </w:rPr>
        <w:t>.</w:t>
      </w:r>
      <w:r>
        <w:rPr>
          <w:color w:val="auto"/>
          <w:spacing w:val="0"/>
          <w:w w:val="100"/>
          <w:sz w:val="24"/>
          <w:szCs w:val="24"/>
          <w:highlight w:val="none"/>
        </w:rPr>
        <w:t>本协议书一式</w:t>
      </w:r>
      <w:r>
        <w:rPr>
          <w:rFonts w:ascii="Times New Roman" w:hAnsi="Times New Roman" w:eastAsia="Times New Roman" w:cs="Times New Roman"/>
          <w:color w:val="auto"/>
          <w:spacing w:val="0"/>
          <w:w w:val="100"/>
          <w:sz w:val="24"/>
          <w:szCs w:val="24"/>
          <w:highlight w:val="none"/>
          <w:u w:val="single" w:color="000000"/>
        </w:rPr>
        <w:tab/>
      </w:r>
      <w:r>
        <w:rPr>
          <w:color w:val="auto"/>
          <w:spacing w:val="0"/>
          <w:w w:val="100"/>
          <w:sz w:val="24"/>
          <w:szCs w:val="24"/>
          <w:highlight w:val="none"/>
        </w:rPr>
        <w:t>份，联合体成员和招标人各执一份。</w:t>
      </w:r>
    </w:p>
    <w:p>
      <w:pPr>
        <w:pStyle w:val="9"/>
        <w:keepNext w:val="0"/>
        <w:keepLines w:val="0"/>
        <w:pageBreakBefore w:val="0"/>
        <w:widowControl w:val="0"/>
        <w:tabs>
          <w:tab w:val="left" w:pos="2417"/>
        </w:tabs>
        <w:kinsoku/>
        <w:wordWrap/>
        <w:overflowPunct/>
        <w:topLinePunct w:val="0"/>
        <w:autoSpaceDE/>
        <w:autoSpaceDN/>
        <w:bidi w:val="0"/>
        <w:adjustRightInd w:val="0"/>
        <w:snapToGrid w:val="0"/>
        <w:spacing w:line="360" w:lineRule="auto"/>
        <w:ind w:left="0" w:right="0" w:firstLine="480" w:firstLineChars="200"/>
        <w:jc w:val="left"/>
        <w:textAlignment w:val="auto"/>
        <w:rPr>
          <w:color w:val="auto"/>
          <w:spacing w:val="0"/>
          <w:w w:val="100"/>
          <w:sz w:val="24"/>
          <w:szCs w:val="24"/>
          <w:highlight w:val="none"/>
        </w:rPr>
      </w:pPr>
      <w:r>
        <w:rPr>
          <w:color w:val="auto"/>
          <w:spacing w:val="0"/>
          <w:w w:val="100"/>
          <w:sz w:val="24"/>
          <w:szCs w:val="24"/>
          <w:highlight w:val="none"/>
        </w:rPr>
        <w:t>注：本协议书由委托代理人签字的，应附法定代表人签字的授权委托书。</w:t>
      </w:r>
    </w:p>
    <w:p>
      <w:pPr>
        <w:pStyle w:val="9"/>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p>
    <w:p>
      <w:pPr>
        <w:pStyle w:val="9"/>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牵头人名称：</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（盖单位章）</w:t>
      </w:r>
    </w:p>
    <w:p>
      <w:pPr>
        <w:pStyle w:val="9"/>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法定代表人或其委托代理人：</w:t>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（签字）</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pacing w:val="0"/>
          <w:w w:val="100"/>
          <w:sz w:val="24"/>
          <w:szCs w:val="24"/>
          <w:highlight w:val="none"/>
        </w:rPr>
      </w:pPr>
    </w:p>
    <w:p>
      <w:pPr>
        <w:pStyle w:val="9"/>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成员一名称：</w:t>
      </w:r>
      <w:r>
        <w:rPr>
          <w:rFonts w:hint="eastAsia"/>
          <w:color w:val="auto"/>
          <w:spacing w:val="0"/>
          <w:w w:val="100"/>
          <w:sz w:val="24"/>
          <w:szCs w:val="24"/>
          <w:highlight w:val="none"/>
          <w:u w:val="single" w:color="auto"/>
          <w:lang w:val="en-US" w:eastAsia="zh-CN"/>
        </w:rPr>
        <w:t xml:space="preserve">                       </w:t>
      </w:r>
      <w:r>
        <w:rPr>
          <w:rFonts w:hint="eastAsia" w:ascii="Times New Roman" w:hAnsi="Times New Roman" w:cs="Times New Roman"/>
          <w:color w:val="auto"/>
          <w:spacing w:val="0"/>
          <w:w w:val="100"/>
          <w:sz w:val="24"/>
          <w:szCs w:val="24"/>
          <w:highlight w:val="none"/>
          <w:u w:val="single" w:color="auto"/>
          <w:lang w:val="en-US" w:eastAsia="zh-CN"/>
        </w:rPr>
        <w:t xml:space="preserve"> </w:t>
      </w:r>
      <w:r>
        <w:rPr>
          <w:color w:val="auto"/>
          <w:spacing w:val="0"/>
          <w:w w:val="100"/>
          <w:sz w:val="24"/>
          <w:szCs w:val="24"/>
          <w:highlight w:val="none"/>
        </w:rPr>
        <w:t>（盖单位章）</w:t>
      </w:r>
    </w:p>
    <w:p>
      <w:pPr>
        <w:pStyle w:val="9"/>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法定代表人或其委托代理人：</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（签字）</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textAlignment w:val="auto"/>
        <w:rPr>
          <w:rFonts w:ascii="宋体" w:hAnsi="宋体" w:eastAsia="宋体" w:cs="宋体"/>
          <w:color w:val="auto"/>
          <w:spacing w:val="0"/>
          <w:w w:val="100"/>
          <w:sz w:val="24"/>
          <w:szCs w:val="24"/>
          <w:highlight w:val="none"/>
        </w:rPr>
      </w:pPr>
    </w:p>
    <w:p>
      <w:pPr>
        <w:pStyle w:val="9"/>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成员二名称：</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（盖单位章）</w:t>
      </w:r>
    </w:p>
    <w:p>
      <w:pPr>
        <w:pStyle w:val="9"/>
        <w:keepNext w:val="0"/>
        <w:keepLines w:val="0"/>
        <w:pageBreakBefore w:val="0"/>
        <w:widowControl w:val="0"/>
        <w:tabs>
          <w:tab w:val="left" w:pos="7635"/>
          <w:tab w:val="left" w:pos="8055"/>
        </w:tabs>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 xml:space="preserve"> 法定代表人或其委托代理人：</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（签字）</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color w:val="auto"/>
          <w:spacing w:val="0"/>
          <w:w w:val="100"/>
          <w:sz w:val="24"/>
          <w:szCs w:val="24"/>
          <w:highlight w:val="none"/>
        </w:rPr>
      </w:pPr>
      <w:r>
        <w:rPr>
          <w:color w:val="auto"/>
          <w:spacing w:val="0"/>
          <w:w w:val="100"/>
          <w:sz w:val="24"/>
          <w:szCs w:val="24"/>
          <w:highlight w:val="none"/>
        </w:rPr>
        <w:t>……</w:t>
      </w:r>
    </w:p>
    <w:p>
      <w:pPr>
        <w:pStyle w:val="9"/>
        <w:keepNext w:val="0"/>
        <w:keepLines w:val="0"/>
        <w:pageBreakBefore w:val="0"/>
        <w:widowControl w:val="0"/>
        <w:tabs>
          <w:tab w:val="left" w:pos="6192"/>
          <w:tab w:val="left" w:pos="7135"/>
          <w:tab w:val="left" w:pos="8081"/>
        </w:tabs>
        <w:kinsoku/>
        <w:wordWrap/>
        <w:overflowPunct/>
        <w:topLinePunct w:val="0"/>
        <w:autoSpaceDE/>
        <w:autoSpaceDN/>
        <w:bidi w:val="0"/>
        <w:adjustRightInd w:val="0"/>
        <w:snapToGrid w:val="0"/>
        <w:spacing w:line="360" w:lineRule="auto"/>
        <w:ind w:left="0" w:leftChars="0" w:right="0" w:firstLine="0" w:firstLineChars="0"/>
        <w:jc w:val="right"/>
        <w:textAlignment w:val="auto"/>
        <w:rPr>
          <w:color w:val="auto"/>
          <w:spacing w:val="0"/>
          <w:w w:val="100"/>
          <w:sz w:val="24"/>
          <w:szCs w:val="24"/>
          <w:highlight w:val="none"/>
        </w:rPr>
      </w:pPr>
      <w:r>
        <w:rPr>
          <w:rFonts w:ascii="Times New Roman" w:hAnsi="Times New Roman" w:eastAsia="Times New Roman" w:cs="Times New Roman"/>
          <w:color w:val="auto"/>
          <w:spacing w:val="0"/>
          <w:w w:val="100"/>
          <w:sz w:val="24"/>
          <w:szCs w:val="24"/>
          <w:highlight w:val="none"/>
          <w:u w:val="single" w:color="000000"/>
        </w:rPr>
        <w:t xml:space="preserve"> </w:t>
      </w:r>
      <w:r>
        <w:rPr>
          <w:rFonts w:hint="eastAsia" w:ascii="Times New Roman" w:hAnsi="Times New Roman" w:cs="Times New Roman"/>
          <w:color w:val="auto"/>
          <w:spacing w:val="0"/>
          <w:w w:val="100"/>
          <w:sz w:val="24"/>
          <w:szCs w:val="24"/>
          <w:highlight w:val="none"/>
          <w:u w:val="single" w:color="000000"/>
          <w:lang w:val="en-US" w:eastAsia="zh-CN"/>
        </w:rPr>
        <w:t xml:space="preserve">                </w:t>
      </w:r>
      <w:r>
        <w:rPr>
          <w:color w:val="auto"/>
          <w:spacing w:val="0"/>
          <w:w w:val="100"/>
          <w:sz w:val="24"/>
          <w:szCs w:val="24"/>
          <w:highlight w:val="none"/>
        </w:rPr>
        <w:t>年</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月</w:t>
      </w:r>
      <w:r>
        <w:rPr>
          <w:rFonts w:hint="eastAsia"/>
          <w:color w:val="auto"/>
          <w:spacing w:val="0"/>
          <w:w w:val="100"/>
          <w:sz w:val="24"/>
          <w:szCs w:val="24"/>
          <w:highlight w:val="none"/>
          <w:u w:val="single"/>
          <w:lang w:val="en-US" w:eastAsia="zh-CN"/>
        </w:rPr>
        <w:t xml:space="preserve">     </w:t>
      </w:r>
      <w:r>
        <w:rPr>
          <w:color w:val="auto"/>
          <w:spacing w:val="0"/>
          <w:w w:val="100"/>
          <w:sz w:val="24"/>
          <w:szCs w:val="24"/>
          <w:highlight w:val="none"/>
        </w:rPr>
        <w:t>日</w:t>
      </w:r>
    </w:p>
    <w:p>
      <w:pPr>
        <w:keepNext w:val="0"/>
        <w:keepLines w:val="0"/>
        <w:pageBreakBefore w:val="0"/>
        <w:widowControl w:val="0"/>
        <w:kinsoku/>
        <w:wordWrap/>
        <w:overflowPunct/>
        <w:topLinePunct w:val="0"/>
        <w:autoSpaceDE/>
        <w:autoSpaceDN/>
        <w:bidi w:val="0"/>
        <w:adjustRightInd w:val="0"/>
        <w:snapToGrid w:val="0"/>
        <w:spacing w:after="0" w:line="360" w:lineRule="auto"/>
        <w:ind w:left="0" w:right="0" w:firstLine="0" w:firstLineChars="0"/>
        <w:jc w:val="left"/>
        <w:textAlignment w:val="auto"/>
        <w:rPr>
          <w:color w:val="auto"/>
          <w:spacing w:val="0"/>
          <w:w w:val="100"/>
          <w:sz w:val="24"/>
          <w:szCs w:val="24"/>
          <w:highlight w:val="none"/>
        </w:rPr>
        <w:sectPr>
          <w:footerReference r:id="rId13" w:type="default"/>
          <w:pgSz w:w="11910" w:h="16840"/>
          <w:pgMar w:top="1580" w:right="1420" w:bottom="1480" w:left="1480" w:header="0" w:footer="129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538" w:name="_bookmark281"/>
      <w:bookmarkEnd w:id="538"/>
      <w:bookmarkStart w:id="539" w:name="五、已标价工程量清单"/>
      <w:bookmarkEnd w:id="539"/>
      <w:bookmarkStart w:id="540" w:name="_Toc1017"/>
      <w:r>
        <w:rPr>
          <w:rFonts w:ascii="黑体" w:hAnsi="黑体" w:eastAsia="黑体" w:cs="黑体"/>
          <w:color w:val="auto"/>
          <w:sz w:val="32"/>
          <w:szCs w:val="32"/>
          <w:highlight w:val="none"/>
        </w:rPr>
        <w:t>五、已标价工程量清单</w:t>
      </w:r>
      <w:bookmarkEnd w:id="540"/>
    </w:p>
    <w:p>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rPr>
          <w:rFonts w:ascii="黑体" w:hAnsi="黑体" w:eastAsia="黑体" w:cs="黑体"/>
          <w:color w:val="auto"/>
          <w:sz w:val="32"/>
          <w:szCs w:val="32"/>
          <w:highlight w:val="none"/>
        </w:rPr>
        <w:sectPr>
          <w:pgSz w:w="11910" w:h="16840"/>
          <w:pgMar w:top="1580" w:right="1680" w:bottom="1480" w:left="1680" w:header="0" w:footer="129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8"/>
          <w:szCs w:val="18"/>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center"/>
        <w:textAlignment w:val="auto"/>
        <w:outlineLvl w:val="2"/>
        <w:rPr>
          <w:rFonts w:ascii="黑体" w:hAnsi="黑体" w:eastAsia="黑体" w:cs="黑体"/>
          <w:color w:val="auto"/>
          <w:sz w:val="32"/>
          <w:szCs w:val="32"/>
          <w:highlight w:val="none"/>
        </w:rPr>
      </w:pPr>
      <w:bookmarkStart w:id="541" w:name="六、项目管理机构"/>
      <w:bookmarkEnd w:id="541"/>
      <w:bookmarkStart w:id="542" w:name="_bookmark282"/>
      <w:bookmarkEnd w:id="542"/>
      <w:bookmarkStart w:id="543" w:name="_bookmark288"/>
      <w:bookmarkEnd w:id="543"/>
      <w:bookmarkStart w:id="544" w:name="九、奖惩情况及其他材料"/>
      <w:bookmarkEnd w:id="544"/>
      <w:bookmarkStart w:id="545" w:name="_Toc10731"/>
      <w:r>
        <w:rPr>
          <w:rFonts w:hint="eastAsia" w:ascii="黑体" w:hAnsi="黑体" w:eastAsia="黑体" w:cs="黑体"/>
          <w:color w:val="auto"/>
          <w:sz w:val="32"/>
          <w:szCs w:val="32"/>
          <w:highlight w:val="none"/>
          <w:lang w:val="en-US" w:eastAsia="zh-CN"/>
        </w:rPr>
        <w:t>六</w:t>
      </w:r>
      <w:r>
        <w:rPr>
          <w:rFonts w:ascii="黑体" w:hAnsi="黑体" w:eastAsia="黑体" w:cs="黑体"/>
          <w:color w:val="auto"/>
          <w:sz w:val="32"/>
          <w:szCs w:val="32"/>
          <w:highlight w:val="none"/>
        </w:rPr>
        <w:t>、奖惩情况及其他材料</w:t>
      </w:r>
      <w:bookmarkEnd w:id="545"/>
    </w:p>
    <w:p>
      <w:pPr>
        <w:keepNext w:val="0"/>
        <w:keepLines w:val="0"/>
        <w:pageBreakBefore w:val="0"/>
        <w:widowControl/>
        <w:kinsoku/>
        <w:wordWrap/>
        <w:overflowPunct/>
        <w:topLinePunct w:val="0"/>
        <w:autoSpaceDE/>
        <w:autoSpaceDN/>
        <w:bidi w:val="0"/>
        <w:adjustRightInd/>
        <w:snapToGrid/>
        <w:spacing w:line="240" w:lineRule="auto"/>
        <w:ind w:left="0" w:right="0" w:firstLine="0" w:firstLineChars="0"/>
        <w:jc w:val="left"/>
        <w:textAlignment w:val="auto"/>
        <w:outlineLvl w:val="9"/>
        <w:rPr>
          <w:rFonts w:ascii="黑体" w:hAnsi="黑体" w:eastAsia="黑体" w:cs="黑体"/>
          <w:color w:val="auto"/>
          <w:sz w:val="32"/>
          <w:szCs w:val="32"/>
          <w:highlight w:val="none"/>
        </w:rPr>
      </w:pPr>
      <w:r>
        <w:rPr>
          <w:rFonts w:ascii="黑体" w:hAnsi="黑体" w:eastAsia="黑体" w:cs="黑体"/>
          <w:color w:val="auto"/>
          <w:sz w:val="32"/>
          <w:szCs w:val="32"/>
          <w:highlight w:val="none"/>
        </w:rPr>
        <w:br w:type="page"/>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8"/>
          <w:szCs w:val="18"/>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outlineLvl w:val="1"/>
        <w:rPr>
          <w:rFonts w:ascii="黑体" w:hAnsi="黑体" w:eastAsia="黑体" w:cs="黑体"/>
          <w:b w:val="0"/>
          <w:bCs w:val="0"/>
          <w:color w:val="auto"/>
          <w:sz w:val="32"/>
          <w:szCs w:val="32"/>
          <w:highlight w:val="none"/>
        </w:rPr>
      </w:pPr>
      <w:bookmarkStart w:id="546" w:name="第二节 技术投标文件格式"/>
      <w:bookmarkEnd w:id="546"/>
      <w:bookmarkStart w:id="547" w:name="_bookmark289"/>
      <w:bookmarkEnd w:id="547"/>
      <w:bookmarkStart w:id="548" w:name="_Toc25528"/>
      <w:bookmarkStart w:id="549" w:name="_Toc25515"/>
      <w:r>
        <w:rPr>
          <w:rFonts w:ascii="黑体" w:hAnsi="黑体" w:eastAsia="黑体" w:cs="黑体"/>
          <w:b w:val="0"/>
          <w:bCs w:val="0"/>
          <w:color w:val="auto"/>
          <w:sz w:val="32"/>
          <w:szCs w:val="32"/>
          <w:highlight w:val="none"/>
        </w:rPr>
        <w:t>第</w:t>
      </w:r>
      <w:r>
        <w:rPr>
          <w:rFonts w:hint="eastAsia" w:ascii="黑体" w:hAnsi="黑体" w:eastAsia="黑体" w:cs="黑体"/>
          <w:b w:val="0"/>
          <w:bCs w:val="0"/>
          <w:color w:val="auto"/>
          <w:sz w:val="32"/>
          <w:szCs w:val="32"/>
          <w:highlight w:val="none"/>
          <w:lang w:val="en-US" w:eastAsia="zh-CN"/>
        </w:rPr>
        <w:t>三</w:t>
      </w:r>
      <w:r>
        <w:rPr>
          <w:rFonts w:ascii="黑体" w:hAnsi="黑体" w:eastAsia="黑体" w:cs="黑体"/>
          <w:b w:val="0"/>
          <w:bCs w:val="0"/>
          <w:color w:val="auto"/>
          <w:sz w:val="32"/>
          <w:szCs w:val="32"/>
          <w:highlight w:val="none"/>
        </w:rPr>
        <w:t>节</w:t>
      </w:r>
      <w:r>
        <w:rPr>
          <w:rFonts w:ascii="黑体" w:hAnsi="黑体" w:eastAsia="黑体" w:cs="黑体"/>
          <w:b w:val="0"/>
          <w:bCs w:val="0"/>
          <w:color w:val="auto"/>
          <w:spacing w:val="-8"/>
          <w:sz w:val="32"/>
          <w:szCs w:val="32"/>
          <w:highlight w:val="none"/>
        </w:rPr>
        <w:t xml:space="preserve"> </w:t>
      </w:r>
      <w:r>
        <w:rPr>
          <w:rFonts w:ascii="黑体" w:hAnsi="黑体" w:eastAsia="黑体" w:cs="黑体"/>
          <w:b w:val="0"/>
          <w:bCs w:val="0"/>
          <w:color w:val="auto"/>
          <w:sz w:val="32"/>
          <w:szCs w:val="32"/>
          <w:highlight w:val="none"/>
        </w:rPr>
        <w:t>技术投标文件格式</w:t>
      </w:r>
      <w:bookmarkEnd w:id="548"/>
      <w:bookmarkEnd w:id="549"/>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b/>
          <w:bCs/>
          <w:color w:val="auto"/>
          <w:sz w:val="20"/>
          <w:szCs w:val="20"/>
          <w:highlight w:val="none"/>
        </w:rPr>
      </w:pPr>
    </w:p>
    <w:p>
      <w:pPr>
        <w:keepNext w:val="0"/>
        <w:keepLines w:val="0"/>
        <w:pageBreakBefore w:val="0"/>
        <w:widowControl w:val="0"/>
        <w:tabs>
          <w:tab w:val="left" w:pos="1735"/>
          <w:tab w:val="left" w:pos="5095"/>
        </w:tabs>
        <w:kinsoku/>
        <w:wordWrap/>
        <w:overflowPunct/>
        <w:bidi w:val="0"/>
        <w:adjustRightInd w:val="0"/>
        <w:snapToGrid w:val="0"/>
        <w:spacing w:line="360" w:lineRule="auto"/>
        <w:ind w:left="0" w:right="0" w:firstLine="0" w:firstLineChars="0"/>
        <w:jc w:val="center"/>
        <w:textAlignment w:val="auto"/>
        <w:rPr>
          <w:rFonts w:hint="eastAsia" w:ascii="黑体" w:hAnsi="黑体" w:eastAsia="黑体" w:cs="黑体"/>
          <w:color w:val="auto"/>
          <w:sz w:val="36"/>
          <w:szCs w:val="36"/>
          <w:highlight w:val="none"/>
        </w:rPr>
      </w:pPr>
      <w:r>
        <w:rPr>
          <w:rFonts w:hint="eastAsia" w:ascii="黑体" w:hAnsi="黑体" w:eastAsia="黑体" w:cs="黑体"/>
          <w:color w:val="auto"/>
          <w:w w:val="100"/>
          <w:sz w:val="36"/>
          <w:szCs w:val="36"/>
          <w:highlight w:val="none"/>
          <w:u w:val="single" w:color="000000"/>
        </w:rPr>
        <w:t xml:space="preserve"> </w:t>
      </w:r>
      <w:r>
        <w:rPr>
          <w:rFonts w:hint="eastAsia" w:ascii="黑体" w:hAnsi="黑体" w:eastAsia="黑体" w:cs="黑体"/>
          <w:color w:val="auto"/>
          <w:sz w:val="36"/>
          <w:szCs w:val="36"/>
          <w:highlight w:val="none"/>
          <w:u w:val="single" w:color="000000"/>
        </w:rPr>
        <w:tab/>
      </w:r>
      <w:r>
        <w:rPr>
          <w:rFonts w:hint="eastAsia" w:ascii="黑体" w:hAnsi="黑体" w:eastAsia="黑体" w:cs="黑体"/>
          <w:color w:val="auto"/>
          <w:spacing w:val="-2"/>
          <w:sz w:val="36"/>
          <w:szCs w:val="36"/>
          <w:highlight w:val="none"/>
        </w:rPr>
        <w:t>（项目名称）</w:t>
      </w:r>
      <w:r>
        <w:rPr>
          <w:rFonts w:hint="eastAsia" w:ascii="黑体" w:hAnsi="黑体" w:eastAsia="黑体" w:cs="黑体"/>
          <w:color w:val="auto"/>
          <w:spacing w:val="-2"/>
          <w:sz w:val="36"/>
          <w:szCs w:val="36"/>
          <w:highlight w:val="none"/>
          <w:u w:val="single" w:color="000000"/>
        </w:rPr>
        <w:tab/>
      </w:r>
      <w:r>
        <w:rPr>
          <w:rFonts w:hint="eastAsia" w:ascii="黑体" w:hAnsi="黑体" w:eastAsia="黑体" w:cs="黑体"/>
          <w:color w:val="auto"/>
          <w:spacing w:val="-2"/>
          <w:sz w:val="36"/>
          <w:szCs w:val="36"/>
          <w:highlight w:val="none"/>
        </w:rPr>
        <w:t>标段施工招标</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0"/>
          <w:szCs w:val="30"/>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32"/>
          <w:szCs w:val="32"/>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黑体" w:hAnsi="黑体" w:eastAsia="黑体" w:cs="黑体"/>
          <w:color w:val="auto"/>
          <w:sz w:val="44"/>
          <w:szCs w:val="44"/>
          <w:highlight w:val="none"/>
        </w:rPr>
      </w:pPr>
      <w:r>
        <w:rPr>
          <w:rFonts w:ascii="黑体" w:hAnsi="黑体" w:eastAsia="黑体" w:cs="黑体"/>
          <w:color w:val="auto"/>
          <w:sz w:val="44"/>
          <w:szCs w:val="44"/>
          <w:highlight w:val="none"/>
        </w:rPr>
        <w:t>技术投标文件</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44"/>
          <w:szCs w:val="44"/>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50"/>
          <w:szCs w:val="50"/>
          <w:highlight w:val="none"/>
        </w:rPr>
      </w:pPr>
    </w:p>
    <w:p>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pacing w:val="-2"/>
          <w:sz w:val="28"/>
          <w:szCs w:val="28"/>
          <w:highlight w:val="none"/>
        </w:rPr>
      </w:pPr>
      <w:r>
        <w:rPr>
          <w:rFonts w:ascii="黑体" w:hAnsi="黑体" w:eastAsia="黑体" w:cs="黑体"/>
          <w:color w:val="auto"/>
          <w:spacing w:val="-2"/>
          <w:sz w:val="28"/>
          <w:szCs w:val="28"/>
          <w:highlight w:val="none"/>
        </w:rPr>
        <w:t>投标人：</w:t>
      </w: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lang w:eastAsia="zh-CN"/>
        </w:rPr>
        <w:t>电子签章</w:t>
      </w:r>
      <w:r>
        <w:rPr>
          <w:rFonts w:ascii="黑体" w:hAnsi="黑体" w:eastAsia="黑体" w:cs="黑体"/>
          <w:color w:val="auto"/>
          <w:spacing w:val="-2"/>
          <w:sz w:val="28"/>
          <w:szCs w:val="28"/>
          <w:highlight w:val="none"/>
        </w:rPr>
        <w:t>）</w:t>
      </w:r>
    </w:p>
    <w:p>
      <w:pPr>
        <w:keepNext w:val="0"/>
        <w:keepLines w:val="0"/>
        <w:pageBreakBefore w:val="0"/>
        <w:widowControl w:val="0"/>
        <w:tabs>
          <w:tab w:val="left" w:pos="6117"/>
          <w:tab w:val="left" w:pos="6681"/>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pPr>
      <w:r>
        <w:rPr>
          <w:rFonts w:ascii="黑体" w:hAnsi="黑体" w:eastAsia="黑体" w:cs="黑体"/>
          <w:color w:val="auto"/>
          <w:spacing w:val="-2"/>
          <w:sz w:val="28"/>
          <w:szCs w:val="28"/>
          <w:highlight w:val="none"/>
        </w:rPr>
        <w:t>法定代表人或其委托代理人：</w:t>
      </w:r>
      <w:r>
        <w:rPr>
          <w:rFonts w:hint="eastAsia" w:ascii="黑体" w:hAnsi="黑体" w:eastAsia="黑体" w:cs="黑体"/>
          <w:color w:val="auto"/>
          <w:spacing w:val="-2"/>
          <w:sz w:val="28"/>
          <w:szCs w:val="28"/>
          <w:highlight w:val="none"/>
          <w:u w:val="single"/>
          <w:lang w:val="en-US" w:eastAsia="zh-CN"/>
        </w:rPr>
        <w:t xml:space="preserve">     </w:t>
      </w:r>
      <w:r>
        <w:rPr>
          <w:rFonts w:ascii="黑体" w:hAnsi="黑体" w:eastAsia="黑体" w:cs="黑体"/>
          <w:color w:val="auto"/>
          <w:spacing w:val="-2"/>
          <w:sz w:val="28"/>
          <w:szCs w:val="28"/>
          <w:highlight w:val="none"/>
        </w:rPr>
        <w:t>（</w:t>
      </w:r>
      <w:r>
        <w:rPr>
          <w:rFonts w:hint="eastAsia" w:ascii="黑体" w:hAnsi="黑体" w:eastAsia="黑体" w:cs="黑体"/>
          <w:color w:val="auto"/>
          <w:spacing w:val="-2"/>
          <w:sz w:val="28"/>
          <w:szCs w:val="28"/>
          <w:highlight w:val="none"/>
        </w:rPr>
        <w:t>电子签章</w:t>
      </w:r>
      <w:r>
        <w:rPr>
          <w:rFonts w:ascii="黑体" w:hAnsi="黑体" w:eastAsia="黑体" w:cs="黑体"/>
          <w:color w:val="auto"/>
          <w:spacing w:val="-2"/>
          <w:sz w:val="28"/>
          <w:szCs w:val="28"/>
          <w:highlight w:val="none"/>
        </w:rPr>
        <w:t>）</w:t>
      </w:r>
    </w:p>
    <w:p>
      <w:pPr>
        <w:keepNext w:val="0"/>
        <w:keepLines w:val="0"/>
        <w:pageBreakBefore w:val="0"/>
        <w:widowControl w:val="0"/>
        <w:tabs>
          <w:tab w:val="left" w:pos="3321"/>
          <w:tab w:val="left" w:pos="4720"/>
          <w:tab w:val="left" w:pos="6119"/>
        </w:tabs>
        <w:kinsoku/>
        <w:wordWrap/>
        <w:overflowPunct/>
        <w:topLinePunct w:val="0"/>
        <w:autoSpaceDE/>
        <w:autoSpaceDN/>
        <w:bidi w:val="0"/>
        <w:adjustRightInd w:val="0"/>
        <w:snapToGrid w:val="0"/>
        <w:spacing w:line="360" w:lineRule="auto"/>
        <w:ind w:left="0" w:right="0" w:firstLine="0" w:firstLineChars="0"/>
        <w:jc w:val="center"/>
        <w:textAlignment w:val="auto"/>
        <w:rPr>
          <w:rFonts w:ascii="黑体" w:hAnsi="黑体" w:eastAsia="黑体" w:cs="黑体"/>
          <w:color w:val="auto"/>
          <w:sz w:val="28"/>
          <w:szCs w:val="28"/>
          <w:highlight w:val="none"/>
        </w:rPr>
        <w:sectPr>
          <w:footerReference r:id="rId14" w:type="default"/>
          <w:pgSz w:w="11910" w:h="16840"/>
          <w:pgMar w:top="1580" w:right="1680" w:bottom="1480" w:left="1680" w:header="0" w:footer="1270" w:gutter="0"/>
          <w:pgNumType w:fmt="decimal"/>
          <w:cols w:space="720" w:num="1"/>
        </w:sectPr>
      </w:pP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3"/>
          <w:sz w:val="28"/>
          <w:szCs w:val="28"/>
          <w:highlight w:val="none"/>
        </w:rPr>
        <w:t>年</w:t>
      </w:r>
      <w:r>
        <w:rPr>
          <w:rFonts w:hint="eastAsia" w:ascii="黑体" w:hAnsi="黑体" w:eastAsia="黑体" w:cs="黑体"/>
          <w:color w:val="auto"/>
          <w:spacing w:val="-3"/>
          <w:sz w:val="28"/>
          <w:szCs w:val="28"/>
          <w:highlight w:val="none"/>
          <w:u w:val="single"/>
          <w:lang w:val="en-US" w:eastAsia="zh-CN"/>
        </w:rPr>
        <w:t xml:space="preserve">    </w:t>
      </w:r>
      <w:r>
        <w:rPr>
          <w:rFonts w:ascii="黑体" w:hAnsi="黑体" w:eastAsia="黑体" w:cs="黑体"/>
          <w:color w:val="auto"/>
          <w:spacing w:val="-1"/>
          <w:sz w:val="28"/>
          <w:szCs w:val="28"/>
          <w:highlight w:val="none"/>
        </w:rPr>
        <w:t>月</w:t>
      </w:r>
      <w:r>
        <w:rPr>
          <w:rFonts w:hint="eastAsia" w:ascii="黑体" w:hAnsi="黑体" w:eastAsia="黑体" w:cs="黑体"/>
          <w:color w:val="auto"/>
          <w:spacing w:val="-1"/>
          <w:sz w:val="28"/>
          <w:szCs w:val="28"/>
          <w:highlight w:val="none"/>
          <w:u w:val="single"/>
          <w:lang w:val="en-US" w:eastAsia="zh-CN"/>
        </w:rPr>
        <w:t xml:space="preserve">    </w:t>
      </w:r>
      <w:r>
        <w:rPr>
          <w:rFonts w:ascii="黑体" w:hAnsi="黑体" w:eastAsia="黑体" w:cs="黑体"/>
          <w:color w:val="auto"/>
          <w:sz w:val="28"/>
          <w:szCs w:val="28"/>
          <w:highlight w:val="none"/>
        </w:rPr>
        <w:t>日</w:t>
      </w:r>
    </w:p>
    <w:p>
      <w:pPr>
        <w:pStyle w:val="9"/>
        <w:keepNext w:val="0"/>
        <w:keepLines w:val="0"/>
        <w:pageBreakBefore w:val="0"/>
        <w:widowControl w:val="0"/>
        <w:tabs>
          <w:tab w:val="left" w:pos="948"/>
        </w:tabs>
        <w:kinsoku/>
        <w:wordWrap/>
        <w:overflowPunct/>
        <w:topLinePunct w:val="0"/>
        <w:autoSpaceDE/>
        <w:autoSpaceDN/>
        <w:bidi w:val="0"/>
        <w:adjustRightInd w:val="0"/>
        <w:snapToGrid w:val="0"/>
        <w:spacing w:line="360" w:lineRule="auto"/>
        <w:ind w:left="0" w:leftChars="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1.投标人编制技术投标文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技术部分应包括以下内容：</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（1） 施工技术方案</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 xml:space="preserve">（2） </w:t>
      </w:r>
      <w:r>
        <w:rPr>
          <w:rFonts w:hint="eastAsia" w:asciiTheme="minorEastAsia" w:hAnsiTheme="minorEastAsia" w:eastAsiaTheme="minorEastAsia" w:cstheme="minorEastAsia"/>
          <w:color w:val="auto"/>
          <w:spacing w:val="0"/>
          <w:w w:val="100"/>
          <w:sz w:val="24"/>
          <w:szCs w:val="24"/>
          <w:highlight w:val="none"/>
          <w:lang w:eastAsia="zh-CN"/>
        </w:rPr>
        <w:t>工期承诺和保证措施</w:t>
      </w:r>
      <w:r>
        <w:rPr>
          <w:rFonts w:hint="eastAsia" w:asciiTheme="minorEastAsia" w:hAnsiTheme="minorEastAsia" w:eastAsiaTheme="minorEastAsia" w:cstheme="minorEastAsia"/>
          <w:color w:val="auto"/>
          <w:spacing w:val="0"/>
          <w:w w:val="100"/>
          <w:sz w:val="24"/>
          <w:szCs w:val="24"/>
          <w:highlight w:val="none"/>
        </w:rPr>
        <w:t xml:space="preserve">     </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（3） 劳动力安排和机械设备投入计划及其保证措施</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（4） 安全文明施工保证措施及环境保护措施</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（5） 质量承诺及服务承诺</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（6） 其他需说明的内容</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2.施工组织设计除采用文字表述外可附下列图表，图表及格式要求附后。</w:t>
      </w:r>
    </w:p>
    <w:p>
      <w:pPr>
        <w:pStyle w:val="9"/>
        <w:keepNext w:val="0"/>
        <w:keepLines w:val="0"/>
        <w:pageBreakBefore w:val="0"/>
        <w:widowControl w:val="0"/>
        <w:tabs>
          <w:tab w:val="left" w:pos="948"/>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附表一</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拟投入本标段的主要施工设备表</w:t>
      </w:r>
    </w:p>
    <w:p>
      <w:pPr>
        <w:pStyle w:val="9"/>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附表二</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拟配备本标段的试验和检测仪器设备表</w:t>
      </w:r>
    </w:p>
    <w:p>
      <w:pPr>
        <w:pStyle w:val="9"/>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附表三</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劳动力计划表</w:t>
      </w:r>
    </w:p>
    <w:p>
      <w:pPr>
        <w:pStyle w:val="9"/>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附表四</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计划开、竣工日期和施工进度网络图</w:t>
      </w:r>
    </w:p>
    <w:p>
      <w:pPr>
        <w:pStyle w:val="9"/>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rPr>
      </w:pPr>
      <w:r>
        <w:rPr>
          <w:rFonts w:hint="eastAsia" w:asciiTheme="minorEastAsia" w:hAnsiTheme="minorEastAsia" w:eastAsiaTheme="minorEastAsia" w:cstheme="minorEastAsia"/>
          <w:color w:val="auto"/>
          <w:spacing w:val="0"/>
          <w:w w:val="100"/>
          <w:sz w:val="24"/>
          <w:szCs w:val="24"/>
          <w:highlight w:val="none"/>
        </w:rPr>
        <w:t>附表五</w:t>
      </w:r>
      <w:r>
        <w:rPr>
          <w:rFonts w:hint="eastAsia" w:asciiTheme="minorEastAsia" w:hAnsiTheme="minorEastAsia" w:eastAsiaTheme="minorEastAsia" w:cstheme="minorEastAsia"/>
          <w:color w:val="auto"/>
          <w:spacing w:val="0"/>
          <w:w w:val="100"/>
          <w:sz w:val="24"/>
          <w:szCs w:val="24"/>
          <w:highlight w:val="none"/>
          <w:lang w:val="en-US" w:eastAsia="zh-CN"/>
        </w:rPr>
        <w:t xml:space="preserve">  </w:t>
      </w:r>
      <w:r>
        <w:rPr>
          <w:rFonts w:hint="eastAsia" w:asciiTheme="minorEastAsia" w:hAnsiTheme="minorEastAsia" w:eastAsiaTheme="minorEastAsia" w:cstheme="minorEastAsia"/>
          <w:color w:val="auto"/>
          <w:spacing w:val="0"/>
          <w:w w:val="100"/>
          <w:sz w:val="24"/>
          <w:szCs w:val="24"/>
          <w:highlight w:val="none"/>
        </w:rPr>
        <w:t>施工总平面图</w:t>
      </w:r>
    </w:p>
    <w:p>
      <w:pPr>
        <w:pStyle w:val="9"/>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rFonts w:hint="eastAsia" w:asciiTheme="minorEastAsia" w:hAnsiTheme="minorEastAsia" w:eastAsiaTheme="minorEastAsia" w:cstheme="minorEastAsia"/>
          <w:color w:val="auto"/>
          <w:spacing w:val="0"/>
          <w:w w:val="100"/>
          <w:sz w:val="24"/>
          <w:szCs w:val="24"/>
          <w:highlight w:val="none"/>
          <w:lang w:val="en-US" w:eastAsia="zh-CN"/>
        </w:rPr>
      </w:pPr>
      <w:r>
        <w:rPr>
          <w:rFonts w:hint="eastAsia" w:asciiTheme="minorEastAsia" w:hAnsiTheme="minorEastAsia" w:eastAsiaTheme="minorEastAsia" w:cstheme="minorEastAsia"/>
          <w:color w:val="auto"/>
          <w:spacing w:val="0"/>
          <w:w w:val="100"/>
          <w:sz w:val="24"/>
          <w:szCs w:val="24"/>
          <w:highlight w:val="none"/>
          <w:lang w:val="en-US" w:eastAsia="zh-CN"/>
        </w:rPr>
        <w:t>附表六  临时用地表</w:t>
      </w:r>
    </w:p>
    <w:p>
      <w:pPr>
        <w:pStyle w:val="9"/>
        <w:keepNext w:val="0"/>
        <w:keepLines w:val="0"/>
        <w:pageBreakBefore w:val="0"/>
        <w:widowControl w:val="0"/>
        <w:tabs>
          <w:tab w:val="left" w:pos="1368"/>
        </w:tabs>
        <w:kinsoku/>
        <w:wordWrap/>
        <w:overflowPunct/>
        <w:topLinePunct w:val="0"/>
        <w:autoSpaceDE/>
        <w:autoSpaceDN/>
        <w:bidi w:val="0"/>
        <w:adjustRightInd w:val="0"/>
        <w:snapToGrid w:val="0"/>
        <w:spacing w:line="360" w:lineRule="auto"/>
        <w:ind w:left="0" w:right="0" w:firstLine="480" w:firstLineChars="200"/>
        <w:jc w:val="both"/>
        <w:textAlignment w:val="auto"/>
        <w:rPr>
          <w:color w:val="auto"/>
          <w:highlight w:val="none"/>
        </w:rPr>
        <w:sectPr>
          <w:pgSz w:w="11910" w:h="16840"/>
          <w:pgMar w:top="1580" w:right="1420" w:bottom="1480" w:left="1480" w:header="0" w:footer="1290" w:gutter="0"/>
          <w:pgNumType w:fmt="decimal"/>
          <w:cols w:space="720" w:num="1"/>
        </w:sectPr>
      </w:pPr>
      <w:r>
        <w:rPr>
          <w:rFonts w:hint="eastAsia" w:asciiTheme="minorEastAsia" w:hAnsiTheme="minorEastAsia" w:eastAsiaTheme="minorEastAsia" w:cstheme="minorEastAsia"/>
          <w:color w:val="auto"/>
          <w:spacing w:val="0"/>
          <w:w w:val="100"/>
          <w:sz w:val="24"/>
          <w:szCs w:val="24"/>
          <w:highlight w:val="none"/>
          <w:lang w:val="en-US" w:eastAsia="zh-CN"/>
        </w:rPr>
        <w:t>附表七  拟分包项目情况</w:t>
      </w:r>
    </w:p>
    <w:p>
      <w:pPr>
        <w:keepNext w:val="0"/>
        <w:keepLines w:val="0"/>
        <w:pageBreakBefore w:val="0"/>
        <w:widowControl/>
        <w:kinsoku/>
        <w:wordWrap/>
        <w:overflowPunct/>
        <w:bidi w:val="0"/>
        <w:adjustRightInd/>
        <w:snapToGrid/>
        <w:spacing w:line="24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附表一：拟投入本标段的主要施工设备表</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19"/>
        <w:tblW w:w="0" w:type="auto"/>
        <w:tblInd w:w="107" w:type="dxa"/>
        <w:tblLayout w:type="fixed"/>
        <w:tblCellMar>
          <w:top w:w="0" w:type="dxa"/>
          <w:left w:w="0" w:type="dxa"/>
          <w:bottom w:w="0" w:type="dxa"/>
          <w:right w:w="0" w:type="dxa"/>
        </w:tblCellMar>
      </w:tblPr>
      <w:tblGrid>
        <w:gridCol w:w="703"/>
        <w:gridCol w:w="1147"/>
        <w:gridCol w:w="804"/>
        <w:gridCol w:w="1046"/>
        <w:gridCol w:w="709"/>
        <w:gridCol w:w="780"/>
        <w:gridCol w:w="1280"/>
        <w:gridCol w:w="924"/>
        <w:gridCol w:w="1114"/>
        <w:gridCol w:w="730"/>
      </w:tblGrid>
      <w:tr>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序号</w:t>
            </w:r>
          </w:p>
        </w:tc>
        <w:tc>
          <w:tcPr>
            <w:tcW w:w="1147"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设备名称</w:t>
            </w:r>
          </w:p>
        </w:tc>
        <w:tc>
          <w:tcPr>
            <w:tcW w:w="804"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型号</w:t>
            </w:r>
          </w:p>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规格</w:t>
            </w:r>
          </w:p>
        </w:tc>
        <w:tc>
          <w:tcPr>
            <w:tcW w:w="104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国别</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制造</w:t>
            </w:r>
          </w:p>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年份</w:t>
            </w:r>
          </w:p>
        </w:tc>
        <w:tc>
          <w:tcPr>
            <w:tcW w:w="1280"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额定功率</w:t>
            </w:r>
          </w:p>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（KW）</w:t>
            </w:r>
          </w:p>
        </w:tc>
        <w:tc>
          <w:tcPr>
            <w:tcW w:w="924"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生产</w:t>
            </w:r>
          </w:p>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能力</w:t>
            </w:r>
          </w:p>
        </w:tc>
        <w:tc>
          <w:tcPr>
            <w:tcW w:w="1114"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用于施工</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部位</w:t>
            </w:r>
          </w:p>
        </w:tc>
        <w:tc>
          <w:tcPr>
            <w:tcW w:w="730"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备注</w:t>
            </w: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0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9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3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180" w:bottom="1480" w:left="1260" w:header="0" w:footer="127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9"/>
          <w:szCs w:val="19"/>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附表二：拟配备本标段的试验和检测仪器设备表</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19"/>
        <w:tblW w:w="0" w:type="auto"/>
        <w:tblInd w:w="107" w:type="dxa"/>
        <w:tblLayout w:type="fixed"/>
        <w:tblCellMar>
          <w:top w:w="0" w:type="dxa"/>
          <w:left w:w="0" w:type="dxa"/>
          <w:bottom w:w="0" w:type="dxa"/>
          <w:right w:w="0" w:type="dxa"/>
        </w:tblCellMar>
      </w:tblPr>
      <w:tblGrid>
        <w:gridCol w:w="703"/>
        <w:gridCol w:w="1149"/>
        <w:gridCol w:w="803"/>
        <w:gridCol w:w="1047"/>
        <w:gridCol w:w="710"/>
        <w:gridCol w:w="780"/>
        <w:gridCol w:w="1281"/>
        <w:gridCol w:w="1746"/>
        <w:gridCol w:w="726"/>
      </w:tblGrid>
      <w:tr>
        <w:tblPrEx>
          <w:tblCellMar>
            <w:top w:w="0" w:type="dxa"/>
            <w:left w:w="0" w:type="dxa"/>
            <w:bottom w:w="0" w:type="dxa"/>
            <w:right w:w="0" w:type="dxa"/>
          </w:tblCellMar>
        </w:tblPrEx>
        <w:trPr>
          <w:trHeight w:val="890" w:hRule="exact"/>
        </w:trPr>
        <w:tc>
          <w:tcPr>
            <w:tcW w:w="703"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序号</w:t>
            </w:r>
          </w:p>
        </w:tc>
        <w:tc>
          <w:tcPr>
            <w:tcW w:w="1149"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仪器设备</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名称</w:t>
            </w:r>
          </w:p>
        </w:tc>
        <w:tc>
          <w:tcPr>
            <w:tcW w:w="803"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型号</w:t>
            </w:r>
          </w:p>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规格</w:t>
            </w:r>
          </w:p>
        </w:tc>
        <w:tc>
          <w:tcPr>
            <w:tcW w:w="1047"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数量</w:t>
            </w:r>
          </w:p>
        </w:tc>
        <w:tc>
          <w:tcPr>
            <w:tcW w:w="710"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国别</w:t>
            </w:r>
            <w:r>
              <w:rPr>
                <w:rFonts w:ascii="宋体" w:hAnsi="宋体" w:eastAsia="宋体" w:cs="宋体"/>
                <w:b/>
                <w:bCs/>
                <w:color w:val="auto"/>
                <w:w w:val="99"/>
                <w:sz w:val="21"/>
                <w:szCs w:val="21"/>
                <w:highlight w:val="none"/>
              </w:rPr>
              <w:t xml:space="preserve"> </w:t>
            </w:r>
            <w:r>
              <w:rPr>
                <w:rFonts w:ascii="宋体" w:hAnsi="宋体" w:eastAsia="宋体" w:cs="宋体"/>
                <w:b/>
                <w:bCs/>
                <w:color w:val="auto"/>
                <w:sz w:val="21"/>
                <w:szCs w:val="21"/>
                <w:highlight w:val="none"/>
              </w:rPr>
              <w:t>产地</w:t>
            </w:r>
          </w:p>
        </w:tc>
        <w:tc>
          <w:tcPr>
            <w:tcW w:w="780"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b/>
                <w:bCs/>
                <w:color w:val="auto"/>
                <w:sz w:val="21"/>
                <w:szCs w:val="21"/>
                <w:highlight w:val="none"/>
              </w:rPr>
            </w:pPr>
            <w:r>
              <w:rPr>
                <w:rFonts w:ascii="宋体" w:hAnsi="宋体" w:eastAsia="宋体" w:cs="宋体"/>
                <w:b/>
                <w:bCs/>
                <w:color w:val="auto"/>
                <w:sz w:val="21"/>
                <w:szCs w:val="21"/>
                <w:highlight w:val="none"/>
              </w:rPr>
              <w:t>制造</w:t>
            </w:r>
          </w:p>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年份</w:t>
            </w:r>
          </w:p>
        </w:tc>
        <w:tc>
          <w:tcPr>
            <w:tcW w:w="1281"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已使用台时数</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用途</w:t>
            </w:r>
          </w:p>
        </w:tc>
        <w:tc>
          <w:tcPr>
            <w:tcW w:w="72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备注</w:t>
            </w: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7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49"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803"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04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1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8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28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74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72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460" w:bottom="1480" w:left="1260" w:header="0" w:footer="127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9"/>
          <w:szCs w:val="19"/>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附表三：劳动力计划表</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8"/>
          <w:szCs w:val="8"/>
          <w:highlight w:val="none"/>
        </w:rPr>
      </w:pPr>
    </w:p>
    <w:p>
      <w:pPr>
        <w:pStyle w:val="9"/>
        <w:keepNext w:val="0"/>
        <w:keepLines w:val="0"/>
        <w:pageBreakBefore w:val="0"/>
        <w:widowControl w:val="0"/>
        <w:kinsoku/>
        <w:wordWrap/>
        <w:overflowPunct/>
        <w:bidi w:val="0"/>
        <w:adjustRightInd w:val="0"/>
        <w:snapToGrid w:val="0"/>
        <w:spacing w:line="360" w:lineRule="auto"/>
        <w:ind w:left="0" w:right="0" w:firstLine="0" w:firstLineChars="0"/>
        <w:jc w:val="right"/>
        <w:textAlignment w:val="auto"/>
        <w:rPr>
          <w:color w:val="auto"/>
          <w:highlight w:val="none"/>
        </w:rPr>
      </w:pPr>
      <w:r>
        <w:rPr>
          <w:color w:val="auto"/>
          <w:w w:val="95"/>
          <w:highlight w:val="none"/>
        </w:rPr>
        <w:t>单位：人</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4"/>
          <w:szCs w:val="4"/>
          <w:highlight w:val="none"/>
        </w:rPr>
      </w:pPr>
    </w:p>
    <w:tbl>
      <w:tblPr>
        <w:tblStyle w:val="19"/>
        <w:tblW w:w="0" w:type="auto"/>
        <w:tblInd w:w="115" w:type="dxa"/>
        <w:tblLayout w:type="fixed"/>
        <w:tblCellMar>
          <w:top w:w="0" w:type="dxa"/>
          <w:left w:w="0" w:type="dxa"/>
          <w:bottom w:w="0" w:type="dxa"/>
          <w:right w:w="0" w:type="dxa"/>
        </w:tblCellMar>
      </w:tblPr>
      <w:tblGrid>
        <w:gridCol w:w="876"/>
        <w:gridCol w:w="1378"/>
        <w:gridCol w:w="1125"/>
        <w:gridCol w:w="1125"/>
        <w:gridCol w:w="1125"/>
        <w:gridCol w:w="1125"/>
        <w:gridCol w:w="1125"/>
        <w:gridCol w:w="1124"/>
      </w:tblGrid>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工种</w:t>
            </w:r>
          </w:p>
        </w:tc>
        <w:tc>
          <w:tcPr>
            <w:tcW w:w="8127" w:type="dxa"/>
            <w:gridSpan w:val="7"/>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按工程施工阶段投入劳动力情况</w:t>
            </w: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876"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378"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12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pPr>
        <w:keepNext w:val="0"/>
        <w:keepLines w:val="0"/>
        <w:pageBreakBefore w:val="0"/>
        <w:widowControl w:val="0"/>
        <w:kinsoku/>
        <w:wordWrap/>
        <w:overflowPunct/>
        <w:bidi w:val="0"/>
        <w:adjustRightInd w:val="0"/>
        <w:snapToGrid w:val="0"/>
        <w:spacing w:after="0" w:line="360" w:lineRule="auto"/>
        <w:ind w:left="0" w:right="0" w:firstLine="0" w:firstLineChars="0"/>
        <w:textAlignment w:val="auto"/>
        <w:rPr>
          <w:color w:val="auto"/>
          <w:highlight w:val="none"/>
        </w:rPr>
        <w:sectPr>
          <w:pgSz w:w="11910" w:h="16840"/>
          <w:pgMar w:top="1580" w:right="1300" w:bottom="1480" w:left="1360" w:header="0" w:footer="127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6"/>
          <w:szCs w:val="16"/>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44"/>
          <w:szCs w:val="44"/>
          <w:highlight w:val="none"/>
        </w:rPr>
      </w:pPr>
      <w:bookmarkStart w:id="550" w:name="附表四：计划开、竣工日期和施工进度网络图"/>
      <w:bookmarkEnd w:id="550"/>
      <w:r>
        <w:rPr>
          <w:rFonts w:ascii="黑体" w:hAnsi="黑体" w:eastAsia="黑体" w:cs="黑体"/>
          <w:color w:val="auto"/>
          <w:sz w:val="28"/>
          <w:szCs w:val="28"/>
          <w:highlight w:val="none"/>
        </w:rPr>
        <w:t>附表四：计划开、竣工日期和施工进度网络图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1.</w:t>
      </w:r>
      <w:r>
        <w:rPr>
          <w:color w:val="auto"/>
          <w:spacing w:val="-17"/>
          <w:sz w:val="24"/>
          <w:szCs w:val="24"/>
          <w:highlight w:val="none"/>
        </w:rPr>
        <w:t xml:space="preserve"> </w:t>
      </w:r>
      <w:r>
        <w:rPr>
          <w:color w:val="auto"/>
          <w:spacing w:val="2"/>
          <w:sz w:val="24"/>
          <w:szCs w:val="24"/>
          <w:highlight w:val="none"/>
        </w:rPr>
        <w:t>投标人应递交施工进度网络图或施工进度表，说明按招标文件要求的计划工期进行施工</w:t>
      </w:r>
      <w:r>
        <w:rPr>
          <w:color w:val="auto"/>
          <w:sz w:val="24"/>
          <w:szCs w:val="24"/>
          <w:highlight w:val="none"/>
        </w:rPr>
        <w:t>的各个关键日期。</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z w:val="24"/>
          <w:szCs w:val="24"/>
          <w:highlight w:val="none"/>
        </w:rPr>
      </w:pPr>
      <w:r>
        <w:rPr>
          <w:color w:val="auto"/>
          <w:sz w:val="24"/>
          <w:szCs w:val="24"/>
          <w:highlight w:val="none"/>
        </w:rPr>
        <w:t>2.</w:t>
      </w:r>
      <w:r>
        <w:rPr>
          <w:color w:val="auto"/>
          <w:spacing w:val="-14"/>
          <w:sz w:val="24"/>
          <w:szCs w:val="24"/>
          <w:highlight w:val="none"/>
        </w:rPr>
        <w:t xml:space="preserve"> </w:t>
      </w:r>
      <w:r>
        <w:rPr>
          <w:color w:val="auto"/>
          <w:sz w:val="24"/>
          <w:szCs w:val="24"/>
          <w:highlight w:val="none"/>
        </w:rPr>
        <w:t>施工进度表可采用网络图（或横道图）表示。</w:t>
      </w:r>
    </w:p>
    <w:p>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rPr>
          <w:color w:val="auto"/>
          <w:highlight w:val="none"/>
        </w:rPr>
        <w:sectPr>
          <w:pgSz w:w="11910" w:h="16840"/>
          <w:pgMar w:top="1580" w:right="1420" w:bottom="1480" w:left="1480" w:header="0" w:footer="127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9"/>
          <w:szCs w:val="19"/>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44"/>
          <w:szCs w:val="44"/>
          <w:highlight w:val="none"/>
        </w:rPr>
      </w:pPr>
      <w:r>
        <w:rPr>
          <w:rFonts w:ascii="黑体" w:hAnsi="黑体" w:eastAsia="黑体" w:cs="黑体"/>
          <w:color w:val="auto"/>
          <w:sz w:val="28"/>
          <w:szCs w:val="28"/>
          <w:highlight w:val="none"/>
        </w:rPr>
        <w:t>附表五：施工总平面图</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auto"/>
        <w:rPr>
          <w:color w:val="auto"/>
          <w:spacing w:val="0"/>
          <w:w w:val="100"/>
          <w:sz w:val="24"/>
          <w:szCs w:val="24"/>
          <w:highlight w:val="none"/>
        </w:rPr>
      </w:pPr>
      <w:r>
        <w:rPr>
          <w:color w:val="auto"/>
          <w:spacing w:val="0"/>
          <w:w w:val="100"/>
          <w:sz w:val="24"/>
          <w:szCs w:val="24"/>
          <w:highlight w:val="none"/>
        </w:rPr>
        <w:t>投标人应递交一份施工总平面图，绘出现场临时设施布置图表并附文字说明，说明临时设施、加工车间、现场办公、设备及仓储、供电、供水、卫生、生活、道路、消防等设施的情况和布置。</w:t>
      </w:r>
    </w:p>
    <w:p>
      <w:pPr>
        <w:keepNext w:val="0"/>
        <w:keepLines w:val="0"/>
        <w:pageBreakBefore w:val="0"/>
        <w:widowControl w:val="0"/>
        <w:kinsoku/>
        <w:wordWrap/>
        <w:overflowPunct/>
        <w:bidi w:val="0"/>
        <w:adjustRightInd w:val="0"/>
        <w:snapToGrid w:val="0"/>
        <w:spacing w:after="0" w:line="360" w:lineRule="auto"/>
        <w:ind w:left="0" w:right="0" w:firstLine="0" w:firstLineChars="0"/>
        <w:jc w:val="left"/>
        <w:textAlignment w:val="auto"/>
        <w:rPr>
          <w:color w:val="auto"/>
          <w:highlight w:val="none"/>
        </w:rPr>
        <w:sectPr>
          <w:pgSz w:w="11910" w:h="16840"/>
          <w:pgMar w:top="1580" w:right="1320" w:bottom="1480" w:left="1480" w:header="0" w:footer="1270" w:gutter="0"/>
          <w:pgNumType w:fmt="decimal"/>
          <w:cols w:space="720" w:num="1"/>
        </w:sectPr>
      </w:pP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宋体" w:hAnsi="宋体" w:eastAsia="宋体" w:cs="宋体"/>
          <w:color w:val="auto"/>
          <w:sz w:val="19"/>
          <w:szCs w:val="19"/>
          <w:highlight w:val="none"/>
        </w:rPr>
      </w:pPr>
    </w:p>
    <w:p>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ascii="黑体" w:hAnsi="黑体" w:eastAsia="黑体" w:cs="黑体"/>
          <w:color w:val="auto"/>
          <w:sz w:val="28"/>
          <w:szCs w:val="28"/>
          <w:highlight w:val="none"/>
        </w:rPr>
        <w:t>附表六：临时用地表</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20"/>
          <w:szCs w:val="20"/>
          <w:highlight w:val="none"/>
        </w:rPr>
      </w:pPr>
    </w:p>
    <w:tbl>
      <w:tblPr>
        <w:tblStyle w:val="19"/>
        <w:tblW w:w="0" w:type="auto"/>
        <w:tblInd w:w="115" w:type="dxa"/>
        <w:tblLayout w:type="fixed"/>
        <w:tblCellMar>
          <w:top w:w="0" w:type="dxa"/>
          <w:left w:w="0" w:type="dxa"/>
          <w:bottom w:w="0" w:type="dxa"/>
          <w:right w:w="0" w:type="dxa"/>
        </w:tblCellMar>
      </w:tblPr>
      <w:tblGrid>
        <w:gridCol w:w="2250"/>
        <w:gridCol w:w="2251"/>
        <w:gridCol w:w="2251"/>
        <w:gridCol w:w="2251"/>
      </w:tblGrid>
      <w:tr>
        <w:tblPrEx>
          <w:tblCellMar>
            <w:top w:w="0" w:type="dxa"/>
            <w:left w:w="0" w:type="dxa"/>
            <w:bottom w:w="0" w:type="dxa"/>
            <w:right w:w="0" w:type="dxa"/>
          </w:tblCellMar>
        </w:tblPrEx>
        <w:trPr>
          <w:trHeight w:val="890" w:hRule="exact"/>
        </w:trPr>
        <w:tc>
          <w:tcPr>
            <w:tcW w:w="2250"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用</w:t>
            </w:r>
            <w:r>
              <w:rPr>
                <w:rFonts w:ascii="宋体" w:hAnsi="宋体" w:eastAsia="宋体" w:cs="宋体"/>
                <w:b/>
                <w:bCs/>
                <w:color w:val="auto"/>
                <w:spacing w:val="-5"/>
                <w:sz w:val="21"/>
                <w:szCs w:val="21"/>
                <w:highlight w:val="none"/>
              </w:rPr>
              <w:t xml:space="preserve"> </w:t>
            </w:r>
            <w:r>
              <w:rPr>
                <w:rFonts w:ascii="宋体" w:hAnsi="宋体" w:eastAsia="宋体" w:cs="宋体"/>
                <w:b/>
                <w:bCs/>
                <w:color w:val="auto"/>
                <w:sz w:val="21"/>
                <w:szCs w:val="21"/>
                <w:highlight w:val="none"/>
              </w:rPr>
              <w:t>途</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面</w:t>
            </w:r>
            <w:r>
              <w:rPr>
                <w:rFonts w:ascii="宋体" w:hAnsi="宋体" w:eastAsia="宋体" w:cs="宋体"/>
                <w:b/>
                <w:bCs/>
                <w:color w:val="auto"/>
                <w:spacing w:val="-5"/>
                <w:sz w:val="21"/>
                <w:szCs w:val="21"/>
                <w:highlight w:val="none"/>
              </w:rPr>
              <w:t xml:space="preserve"> </w:t>
            </w:r>
            <w:r>
              <w:rPr>
                <w:rFonts w:ascii="宋体" w:hAnsi="宋体" w:eastAsia="宋体" w:cs="宋体"/>
                <w:b/>
                <w:bCs/>
                <w:color w:val="auto"/>
                <w:sz w:val="21"/>
                <w:szCs w:val="21"/>
                <w:highlight w:val="none"/>
              </w:rPr>
              <w:t>积（平方米）</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位</w:t>
            </w:r>
            <w:r>
              <w:rPr>
                <w:rFonts w:ascii="宋体" w:hAnsi="宋体" w:eastAsia="宋体" w:cs="宋体"/>
                <w:b/>
                <w:bCs/>
                <w:color w:val="auto"/>
                <w:spacing w:val="-5"/>
                <w:sz w:val="21"/>
                <w:szCs w:val="21"/>
                <w:highlight w:val="none"/>
              </w:rPr>
              <w:t xml:space="preserve"> </w:t>
            </w:r>
            <w:r>
              <w:rPr>
                <w:rFonts w:ascii="宋体" w:hAnsi="宋体" w:eastAsia="宋体" w:cs="宋体"/>
                <w:b/>
                <w:bCs/>
                <w:color w:val="auto"/>
                <w:sz w:val="21"/>
                <w:szCs w:val="21"/>
                <w:highlight w:val="none"/>
              </w:rPr>
              <w:t>置</w:t>
            </w:r>
          </w:p>
        </w:tc>
        <w:tc>
          <w:tcPr>
            <w:tcW w:w="2251" w:type="dxa"/>
            <w:tcBorders>
              <w:top w:val="single" w:color="000000" w:sz="4" w:space="0"/>
              <w:left w:val="single" w:color="000000" w:sz="4" w:space="0"/>
              <w:bottom w:val="single" w:color="000000" w:sz="4" w:space="0"/>
              <w:right w:val="single" w:color="000000" w:sz="4" w:space="0"/>
            </w:tcBorders>
            <w:vAlign w:val="center"/>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b/>
                <w:bCs/>
                <w:color w:val="auto"/>
                <w:sz w:val="21"/>
                <w:szCs w:val="21"/>
                <w:highlight w:val="none"/>
              </w:rPr>
              <w:t>需用时间</w:t>
            </w: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25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251"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pPr>
        <w:rPr>
          <w:color w:val="auto"/>
          <w:highlight w:val="none"/>
        </w:rPr>
      </w:pPr>
      <w:bookmarkStart w:id="551" w:name="_bookmark290"/>
      <w:bookmarkEnd w:id="551"/>
      <w:bookmarkStart w:id="552" w:name="第二节 技术投标文件格式"/>
      <w:bookmarkEnd w:id="552"/>
      <w:r>
        <w:rPr>
          <w:color w:val="auto"/>
          <w:highlight w:val="none"/>
        </w:rPr>
        <w:br w:type="page"/>
      </w:r>
    </w:p>
    <w:p>
      <w:pPr>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附表</w:t>
      </w: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w:t>
      </w:r>
      <w:r>
        <w:rPr>
          <w:rFonts w:ascii="黑体" w:hAnsi="黑体" w:eastAsia="黑体" w:cs="黑体"/>
          <w:color w:val="auto"/>
          <w:sz w:val="28"/>
          <w:szCs w:val="28"/>
          <w:highlight w:val="none"/>
        </w:rPr>
        <w:t>拟分包项目情况表</w:t>
      </w:r>
    </w:p>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rFonts w:ascii="黑体" w:hAnsi="黑体" w:eastAsia="黑体" w:cs="黑体"/>
          <w:color w:val="auto"/>
          <w:sz w:val="16"/>
          <w:szCs w:val="16"/>
          <w:highlight w:val="none"/>
        </w:rPr>
      </w:pPr>
    </w:p>
    <w:tbl>
      <w:tblPr>
        <w:tblStyle w:val="19"/>
        <w:tblW w:w="0" w:type="auto"/>
        <w:tblInd w:w="115" w:type="dxa"/>
        <w:tblLayout w:type="fixed"/>
        <w:tblCellMar>
          <w:top w:w="0" w:type="dxa"/>
          <w:left w:w="0" w:type="dxa"/>
          <w:bottom w:w="0" w:type="dxa"/>
          <w:right w:w="0" w:type="dxa"/>
        </w:tblCellMar>
      </w:tblPr>
      <w:tblGrid>
        <w:gridCol w:w="2015"/>
        <w:gridCol w:w="2487"/>
        <w:gridCol w:w="1887"/>
        <w:gridCol w:w="2614"/>
      </w:tblGrid>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分包人名称</w:t>
            </w: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地</w:t>
            </w:r>
            <w:r>
              <w:rPr>
                <w:rFonts w:ascii="宋体" w:hAnsi="宋体" w:eastAsia="宋体" w:cs="宋体"/>
                <w:color w:val="auto"/>
                <w:spacing w:val="-2"/>
                <w:sz w:val="21"/>
                <w:szCs w:val="21"/>
                <w:highlight w:val="none"/>
              </w:rPr>
              <w:t xml:space="preserve"> </w:t>
            </w:r>
            <w:r>
              <w:rPr>
                <w:rFonts w:ascii="宋体" w:hAnsi="宋体" w:eastAsia="宋体" w:cs="宋体"/>
                <w:color w:val="auto"/>
                <w:sz w:val="21"/>
                <w:szCs w:val="21"/>
                <w:highlight w:val="none"/>
              </w:rPr>
              <w:t>址</w:t>
            </w:r>
          </w:p>
        </w:tc>
        <w:tc>
          <w:tcPr>
            <w:tcW w:w="26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法定代表人</w:t>
            </w: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电</w:t>
            </w:r>
            <w:r>
              <w:rPr>
                <w:rFonts w:ascii="宋体" w:hAnsi="宋体" w:eastAsia="宋体" w:cs="宋体"/>
                <w:color w:val="auto"/>
                <w:spacing w:val="-2"/>
                <w:sz w:val="21"/>
                <w:szCs w:val="21"/>
                <w:highlight w:val="none"/>
              </w:rPr>
              <w:t xml:space="preserve"> </w:t>
            </w:r>
            <w:r>
              <w:rPr>
                <w:rFonts w:ascii="宋体" w:hAnsi="宋体" w:eastAsia="宋体" w:cs="宋体"/>
                <w:color w:val="auto"/>
                <w:sz w:val="21"/>
                <w:szCs w:val="21"/>
                <w:highlight w:val="none"/>
              </w:rPr>
              <w:t>话</w:t>
            </w:r>
          </w:p>
        </w:tc>
        <w:tc>
          <w:tcPr>
            <w:tcW w:w="26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营业执照号码</w:t>
            </w: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center"/>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资质等级</w:t>
            </w:r>
          </w:p>
        </w:tc>
        <w:tc>
          <w:tcPr>
            <w:tcW w:w="2614"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拟分包的工程项目</w:t>
            </w:r>
          </w:p>
        </w:tc>
        <w:tc>
          <w:tcPr>
            <w:tcW w:w="248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主 要 内</w:t>
            </w:r>
            <w:r>
              <w:rPr>
                <w:rFonts w:ascii="宋体" w:hAnsi="宋体" w:eastAsia="宋体" w:cs="宋体"/>
                <w:color w:val="auto"/>
                <w:spacing w:val="-4"/>
                <w:sz w:val="21"/>
                <w:szCs w:val="21"/>
                <w:highlight w:val="none"/>
              </w:rPr>
              <w:t xml:space="preserve"> </w:t>
            </w:r>
            <w:r>
              <w:rPr>
                <w:rFonts w:ascii="宋体" w:hAnsi="宋体" w:eastAsia="宋体" w:cs="宋体"/>
                <w:color w:val="auto"/>
                <w:sz w:val="21"/>
                <w:szCs w:val="21"/>
                <w:highlight w:val="none"/>
              </w:rPr>
              <w:t>容</w:t>
            </w:r>
          </w:p>
        </w:tc>
        <w:tc>
          <w:tcPr>
            <w:tcW w:w="1887"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预计造价（万元）</w:t>
            </w:r>
          </w:p>
        </w:tc>
        <w:tc>
          <w:tcPr>
            <w:tcW w:w="2614" w:type="dxa"/>
            <w:tcBorders>
              <w:top w:val="single" w:color="000000" w:sz="4" w:space="0"/>
              <w:left w:val="single" w:color="000000" w:sz="4" w:space="0"/>
              <w:bottom w:val="single" w:color="000000" w:sz="4" w:space="0"/>
              <w:right w:val="single" w:color="000000" w:sz="4" w:space="0"/>
            </w:tcBorders>
          </w:tcPr>
          <w:p>
            <w:pPr>
              <w:pStyle w:val="25"/>
              <w:keepNext w:val="0"/>
              <w:keepLines w:val="0"/>
              <w:pageBreakBefore w:val="0"/>
              <w:widowControl w:val="0"/>
              <w:kinsoku/>
              <w:wordWrap/>
              <w:overflowPunct/>
              <w:bidi w:val="0"/>
              <w:adjustRightInd w:val="0"/>
              <w:snapToGrid w:val="0"/>
              <w:spacing w:line="360" w:lineRule="auto"/>
              <w:ind w:left="0" w:right="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已经做过的类似工程</w:t>
            </w:r>
          </w:p>
        </w:tc>
      </w:tr>
      <w:tr>
        <w:tblPrEx>
          <w:tblCellMar>
            <w:top w:w="0" w:type="dxa"/>
            <w:left w:w="0" w:type="dxa"/>
            <w:bottom w:w="0" w:type="dxa"/>
            <w:right w:w="0" w:type="dxa"/>
          </w:tblCellMar>
        </w:tblPrEx>
        <w:trPr>
          <w:trHeight w:val="423"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restart"/>
            <w:tcBorders>
              <w:top w:val="single" w:color="000000" w:sz="4" w:space="0"/>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57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5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60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r>
        <w:tblPrEx>
          <w:tblCellMar>
            <w:top w:w="0" w:type="dxa"/>
            <w:left w:w="0" w:type="dxa"/>
            <w:bottom w:w="0" w:type="dxa"/>
            <w:right w:w="0" w:type="dxa"/>
          </w:tblCellMar>
        </w:tblPrEx>
        <w:trPr>
          <w:trHeight w:val="460" w:hRule="exact"/>
        </w:trPr>
        <w:tc>
          <w:tcPr>
            <w:tcW w:w="2015"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4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1887"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c>
          <w:tcPr>
            <w:tcW w:w="2614"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bidi w:val="0"/>
              <w:adjustRightInd w:val="0"/>
              <w:snapToGrid w:val="0"/>
              <w:spacing w:line="360" w:lineRule="auto"/>
              <w:ind w:left="0" w:right="0" w:firstLine="0" w:firstLineChars="0"/>
              <w:textAlignment w:val="auto"/>
              <w:rPr>
                <w:color w:val="auto"/>
                <w:highlight w:val="none"/>
              </w:rPr>
            </w:pPr>
          </w:p>
        </w:tc>
      </w:tr>
    </w:tbl>
    <w:p>
      <w:pPr>
        <w:rPr>
          <w:color w:val="auto"/>
          <w:highlight w:val="none"/>
        </w:rPr>
      </w:pPr>
    </w:p>
    <w:sectPr>
      <w:footerReference r:id="rId15" w:type="default"/>
      <w:pgSz w:w="11910" w:h="16840"/>
      <w:pgMar w:top="1580" w:right="1300" w:bottom="1460" w:left="1360" w:header="0" w:footer="127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20F0502020204030204"/>
    <w:charset w:val="86"/>
    <w:family w:val="swiss"/>
    <w:pitch w:val="default"/>
    <w:sig w:usb0="00000000" w:usb1="00000000" w:usb2="00000001" w:usb3="00000000" w:csb0="0000019F" w:csb1="00000000"/>
  </w:font>
  <w:font w:name="Calibri">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Wingdings 2">
    <w:panose1 w:val="05020102010507070707"/>
    <w:charset w:val="00"/>
    <w:family w:val="auto"/>
    <w:pitch w:val="default"/>
    <w:sig w:usb0="00000000" w:usb1="00000000" w:usb2="00000000" w:usb3="00000000" w:csb0="80000000" w:csb1="00000000"/>
  </w:font>
  <w:font w:name="新宋体">
    <w:altName w:val="方正书宋_GBK"/>
    <w:panose1 w:val="02010609030101010101"/>
    <w:charset w:val="86"/>
    <w:family w:val="modern"/>
    <w:pitch w:val="default"/>
    <w:sig w:usb0="00000000" w:usb1="00000000" w:usb2="00000000" w:usb3="00000000" w:csb0="00040001"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LNJWO7QAAAABQEAAA8AAAAAAAAAAQAgAAAAOAAAAGRycy9kb3ducmV2LnhtbFBLAQIU&#10;ABQAAAAIAIdO4kBYHlk5HgIAACsEAAAOAAAAAAAAAAEAIAAAADU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af7QUdAgAAKwQAAA4AAAAAAAAAAQAgAAAANQ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31EF5"/>
    <w:multiLevelType w:val="singleLevel"/>
    <w:tmpl w:val="F2F31E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7"/>
  <w:embedTrueTypeFonts/>
  <w:saveSubsetFonts/>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0422B"/>
    <w:rsid w:val="012D2F0D"/>
    <w:rsid w:val="02B726F0"/>
    <w:rsid w:val="03E80953"/>
    <w:rsid w:val="040D7A74"/>
    <w:rsid w:val="04EB6322"/>
    <w:rsid w:val="0523546D"/>
    <w:rsid w:val="05E25CD6"/>
    <w:rsid w:val="07126147"/>
    <w:rsid w:val="079F2D53"/>
    <w:rsid w:val="08072612"/>
    <w:rsid w:val="08346D03"/>
    <w:rsid w:val="08A47272"/>
    <w:rsid w:val="08BF5E1C"/>
    <w:rsid w:val="08DC4C5E"/>
    <w:rsid w:val="0A6767AA"/>
    <w:rsid w:val="0B1B1342"/>
    <w:rsid w:val="0B2B3CDD"/>
    <w:rsid w:val="0BAF4A0E"/>
    <w:rsid w:val="0BFDC5BE"/>
    <w:rsid w:val="0D6C5618"/>
    <w:rsid w:val="0E8F4521"/>
    <w:rsid w:val="0F010972"/>
    <w:rsid w:val="0F0D7CC0"/>
    <w:rsid w:val="0FE05AD7"/>
    <w:rsid w:val="10142F30"/>
    <w:rsid w:val="10E8576F"/>
    <w:rsid w:val="113B16DB"/>
    <w:rsid w:val="116577BB"/>
    <w:rsid w:val="11EC57E6"/>
    <w:rsid w:val="14072DAB"/>
    <w:rsid w:val="144A31BC"/>
    <w:rsid w:val="14DE0216"/>
    <w:rsid w:val="14F2335E"/>
    <w:rsid w:val="153F144F"/>
    <w:rsid w:val="158818A7"/>
    <w:rsid w:val="15FF96CF"/>
    <w:rsid w:val="16807CEA"/>
    <w:rsid w:val="16B20DAC"/>
    <w:rsid w:val="16FB12C6"/>
    <w:rsid w:val="17FB49D5"/>
    <w:rsid w:val="19510D51"/>
    <w:rsid w:val="196E5A4D"/>
    <w:rsid w:val="19C257AA"/>
    <w:rsid w:val="19F5368E"/>
    <w:rsid w:val="1A82318C"/>
    <w:rsid w:val="1A9A68F5"/>
    <w:rsid w:val="1AC25B38"/>
    <w:rsid w:val="1B5003E0"/>
    <w:rsid w:val="1B811695"/>
    <w:rsid w:val="1BB27125"/>
    <w:rsid w:val="1C723D3B"/>
    <w:rsid w:val="1C7339BB"/>
    <w:rsid w:val="1D6419C3"/>
    <w:rsid w:val="1D7DEF88"/>
    <w:rsid w:val="1E1E31CB"/>
    <w:rsid w:val="1E430956"/>
    <w:rsid w:val="1E8201AE"/>
    <w:rsid w:val="1F460C2C"/>
    <w:rsid w:val="1F5C0367"/>
    <w:rsid w:val="200C2AC9"/>
    <w:rsid w:val="202820DF"/>
    <w:rsid w:val="2065063D"/>
    <w:rsid w:val="20796DDF"/>
    <w:rsid w:val="20C938C2"/>
    <w:rsid w:val="20ED1B95"/>
    <w:rsid w:val="211B39F2"/>
    <w:rsid w:val="218D2B42"/>
    <w:rsid w:val="226B73BC"/>
    <w:rsid w:val="229F5759"/>
    <w:rsid w:val="235D2C72"/>
    <w:rsid w:val="2389558B"/>
    <w:rsid w:val="23957A8C"/>
    <w:rsid w:val="240F3CE2"/>
    <w:rsid w:val="244950A7"/>
    <w:rsid w:val="2457032D"/>
    <w:rsid w:val="25244A61"/>
    <w:rsid w:val="261E5D96"/>
    <w:rsid w:val="290322B1"/>
    <w:rsid w:val="293E0BC6"/>
    <w:rsid w:val="29606D8E"/>
    <w:rsid w:val="297939AC"/>
    <w:rsid w:val="2A6308E4"/>
    <w:rsid w:val="2AE33642"/>
    <w:rsid w:val="2B7E6AA8"/>
    <w:rsid w:val="2C370819"/>
    <w:rsid w:val="2C924AFC"/>
    <w:rsid w:val="2D4349FC"/>
    <w:rsid w:val="2DDB2E87"/>
    <w:rsid w:val="2EA27501"/>
    <w:rsid w:val="2EFF9351"/>
    <w:rsid w:val="2F776BDF"/>
    <w:rsid w:val="2FA9697C"/>
    <w:rsid w:val="30054CD6"/>
    <w:rsid w:val="315A0F54"/>
    <w:rsid w:val="329D1437"/>
    <w:rsid w:val="32F756F3"/>
    <w:rsid w:val="3464289C"/>
    <w:rsid w:val="34A02A14"/>
    <w:rsid w:val="34BB4DE1"/>
    <w:rsid w:val="35D00DF7"/>
    <w:rsid w:val="35F40295"/>
    <w:rsid w:val="35FD4296"/>
    <w:rsid w:val="36633A19"/>
    <w:rsid w:val="37DE0F07"/>
    <w:rsid w:val="38514471"/>
    <w:rsid w:val="398E6FFF"/>
    <w:rsid w:val="399C540E"/>
    <w:rsid w:val="3ADE350A"/>
    <w:rsid w:val="3B984165"/>
    <w:rsid w:val="3C3409F6"/>
    <w:rsid w:val="3C981162"/>
    <w:rsid w:val="3C9B2A88"/>
    <w:rsid w:val="3CE64F44"/>
    <w:rsid w:val="3CF04222"/>
    <w:rsid w:val="3D404AB5"/>
    <w:rsid w:val="3E1D4DF6"/>
    <w:rsid w:val="3E5808F9"/>
    <w:rsid w:val="3FC76B80"/>
    <w:rsid w:val="40DC745F"/>
    <w:rsid w:val="417B430D"/>
    <w:rsid w:val="42CB3072"/>
    <w:rsid w:val="43EA577A"/>
    <w:rsid w:val="440947F5"/>
    <w:rsid w:val="442A3DC9"/>
    <w:rsid w:val="44AE7FE8"/>
    <w:rsid w:val="46253DBF"/>
    <w:rsid w:val="46B300A5"/>
    <w:rsid w:val="46D71FE6"/>
    <w:rsid w:val="470D3C59"/>
    <w:rsid w:val="47460F19"/>
    <w:rsid w:val="480A1F47"/>
    <w:rsid w:val="48E24C72"/>
    <w:rsid w:val="49261002"/>
    <w:rsid w:val="492B3B19"/>
    <w:rsid w:val="4A055405"/>
    <w:rsid w:val="4AC40AD3"/>
    <w:rsid w:val="4AD01762"/>
    <w:rsid w:val="4B030514"/>
    <w:rsid w:val="4BB70805"/>
    <w:rsid w:val="4BFE1DC3"/>
    <w:rsid w:val="4C0D0258"/>
    <w:rsid w:val="4C2859C5"/>
    <w:rsid w:val="4C5E6D05"/>
    <w:rsid w:val="4CA54934"/>
    <w:rsid w:val="4CBFCA70"/>
    <w:rsid w:val="4D2515D1"/>
    <w:rsid w:val="4D9B0761"/>
    <w:rsid w:val="4EA74993"/>
    <w:rsid w:val="4EE31744"/>
    <w:rsid w:val="4F9313E9"/>
    <w:rsid w:val="508F3931"/>
    <w:rsid w:val="50937738"/>
    <w:rsid w:val="513039BE"/>
    <w:rsid w:val="520774F7"/>
    <w:rsid w:val="527728CF"/>
    <w:rsid w:val="52E91AF5"/>
    <w:rsid w:val="531B76FE"/>
    <w:rsid w:val="542A46B9"/>
    <w:rsid w:val="55F31810"/>
    <w:rsid w:val="561641AD"/>
    <w:rsid w:val="570010E5"/>
    <w:rsid w:val="5702373D"/>
    <w:rsid w:val="575E63D5"/>
    <w:rsid w:val="581F559B"/>
    <w:rsid w:val="58B7151E"/>
    <w:rsid w:val="59E76663"/>
    <w:rsid w:val="5A2E5F69"/>
    <w:rsid w:val="5AE44EE6"/>
    <w:rsid w:val="5BF141C0"/>
    <w:rsid w:val="5C8210D4"/>
    <w:rsid w:val="5D015E83"/>
    <w:rsid w:val="5DC6470A"/>
    <w:rsid w:val="5E0E5697"/>
    <w:rsid w:val="5E64706B"/>
    <w:rsid w:val="5EA92062"/>
    <w:rsid w:val="5EC135B8"/>
    <w:rsid w:val="5EC44B06"/>
    <w:rsid w:val="5EE65064"/>
    <w:rsid w:val="5F13572D"/>
    <w:rsid w:val="5FFDDEC7"/>
    <w:rsid w:val="5FFE6DA3"/>
    <w:rsid w:val="607A2A40"/>
    <w:rsid w:val="61716B20"/>
    <w:rsid w:val="62A109BE"/>
    <w:rsid w:val="63195A67"/>
    <w:rsid w:val="633D68A5"/>
    <w:rsid w:val="64CD23D0"/>
    <w:rsid w:val="65013CDC"/>
    <w:rsid w:val="656767D3"/>
    <w:rsid w:val="66106E6A"/>
    <w:rsid w:val="666A3B93"/>
    <w:rsid w:val="669C425A"/>
    <w:rsid w:val="69CE6E20"/>
    <w:rsid w:val="69EE74C3"/>
    <w:rsid w:val="6A9E35F8"/>
    <w:rsid w:val="6B76584F"/>
    <w:rsid w:val="6B803F2A"/>
    <w:rsid w:val="6BA20565"/>
    <w:rsid w:val="6BD36970"/>
    <w:rsid w:val="6C1A0F43"/>
    <w:rsid w:val="6CB95B66"/>
    <w:rsid w:val="6CDE4B9E"/>
    <w:rsid w:val="6DF40E20"/>
    <w:rsid w:val="6E4B4EE4"/>
    <w:rsid w:val="6E761835"/>
    <w:rsid w:val="6E7E0907"/>
    <w:rsid w:val="6F513393"/>
    <w:rsid w:val="6FE6540E"/>
    <w:rsid w:val="6FFF5D93"/>
    <w:rsid w:val="70F57389"/>
    <w:rsid w:val="71FC02A3"/>
    <w:rsid w:val="730468E0"/>
    <w:rsid w:val="73F73418"/>
    <w:rsid w:val="74B50BE7"/>
    <w:rsid w:val="74FA48A1"/>
    <w:rsid w:val="77BBD0D3"/>
    <w:rsid w:val="77CE4F95"/>
    <w:rsid w:val="77E66B93"/>
    <w:rsid w:val="78080136"/>
    <w:rsid w:val="786043A2"/>
    <w:rsid w:val="7AB717F7"/>
    <w:rsid w:val="7AC21FE8"/>
    <w:rsid w:val="7AC40BA2"/>
    <w:rsid w:val="7AE5221C"/>
    <w:rsid w:val="7AF46D32"/>
    <w:rsid w:val="7B01409D"/>
    <w:rsid w:val="7B3867F0"/>
    <w:rsid w:val="7B8051F7"/>
    <w:rsid w:val="7C1A5F8F"/>
    <w:rsid w:val="7C7E07D8"/>
    <w:rsid w:val="7CFE1373"/>
    <w:rsid w:val="7D8F021D"/>
    <w:rsid w:val="7D9B696E"/>
    <w:rsid w:val="7E926217"/>
    <w:rsid w:val="7ED284AA"/>
    <w:rsid w:val="7EFFAEF0"/>
    <w:rsid w:val="7F253F27"/>
    <w:rsid w:val="7FEF86E5"/>
    <w:rsid w:val="7FFA0841"/>
    <w:rsid w:val="9FF7A088"/>
    <w:rsid w:val="B3D4288D"/>
    <w:rsid w:val="BBB3717F"/>
    <w:rsid w:val="BFFD154C"/>
    <w:rsid w:val="C8EEC648"/>
    <w:rsid w:val="CBFDE2B6"/>
    <w:rsid w:val="DD7DA70C"/>
    <w:rsid w:val="DFFEB737"/>
    <w:rsid w:val="E6BFB542"/>
    <w:rsid w:val="EAEDC863"/>
    <w:rsid w:val="F5E9224B"/>
    <w:rsid w:val="FA7ED03C"/>
    <w:rsid w:val="FB55676F"/>
    <w:rsid w:val="FD7F1A43"/>
    <w:rsid w:val="FEBF7A0E"/>
    <w:rsid w:val="FFFFBAF3"/>
    <w:rsid w:val="FFFFBB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360" w:lineRule="auto"/>
      <w:ind w:firstLine="400" w:firstLineChars="200"/>
      <w:jc w:val="both"/>
    </w:pPr>
    <w:rPr>
      <w:rFonts w:eastAsia="方正仿宋_GBK" w:asciiTheme="minorAscii" w:hAnsiTheme="minorAscii" w:cstheme="minorBidi"/>
      <w:sz w:val="32"/>
      <w:szCs w:val="22"/>
      <w:lang w:val="en-US" w:eastAsia="en-US" w:bidi="ar-SA"/>
    </w:rPr>
  </w:style>
  <w:style w:type="paragraph" w:styleId="3">
    <w:name w:val="heading 1"/>
    <w:basedOn w:val="1"/>
    <w:next w:val="1"/>
    <w:qFormat/>
    <w:uiPriority w:val="1"/>
    <w:pPr>
      <w:ind w:left="55"/>
      <w:outlineLvl w:val="1"/>
    </w:pPr>
    <w:rPr>
      <w:rFonts w:ascii="华文中宋" w:hAnsi="华文中宋" w:eastAsia="华文中宋"/>
      <w:sz w:val="44"/>
      <w:szCs w:val="44"/>
    </w:rPr>
  </w:style>
  <w:style w:type="paragraph" w:styleId="2">
    <w:name w:val="heading 2"/>
    <w:basedOn w:val="1"/>
    <w:next w:val="1"/>
    <w:qFormat/>
    <w:uiPriority w:val="1"/>
    <w:pPr>
      <w:ind w:left="108"/>
      <w:outlineLvl w:val="2"/>
    </w:pPr>
    <w:rPr>
      <w:rFonts w:ascii="黑体" w:hAnsi="黑体" w:eastAsia="黑体"/>
      <w:b/>
      <w:bCs/>
      <w:sz w:val="32"/>
      <w:szCs w:val="32"/>
    </w:rPr>
  </w:style>
  <w:style w:type="paragraph" w:styleId="4">
    <w:name w:val="heading 3"/>
    <w:basedOn w:val="1"/>
    <w:next w:val="1"/>
    <w:qFormat/>
    <w:uiPriority w:val="1"/>
    <w:pPr>
      <w:ind w:left="108"/>
      <w:outlineLvl w:val="3"/>
    </w:pPr>
    <w:rPr>
      <w:rFonts w:ascii="黑体" w:hAnsi="黑体" w:eastAsia="黑体"/>
      <w:sz w:val="32"/>
      <w:szCs w:val="32"/>
    </w:rPr>
  </w:style>
  <w:style w:type="paragraph" w:styleId="5">
    <w:name w:val="heading 4"/>
    <w:basedOn w:val="1"/>
    <w:next w:val="1"/>
    <w:qFormat/>
    <w:uiPriority w:val="1"/>
    <w:pPr>
      <w:ind w:left="108"/>
      <w:outlineLvl w:val="4"/>
    </w:pPr>
    <w:rPr>
      <w:rFonts w:ascii="黑体" w:hAnsi="黑体" w:eastAsia="黑体"/>
      <w:sz w:val="28"/>
      <w:szCs w:val="28"/>
    </w:rPr>
  </w:style>
  <w:style w:type="paragraph" w:styleId="6">
    <w:name w:val="heading 5"/>
    <w:basedOn w:val="1"/>
    <w:next w:val="1"/>
    <w:qFormat/>
    <w:uiPriority w:val="1"/>
    <w:pPr>
      <w:spacing w:before="26"/>
      <w:ind w:left="108"/>
      <w:outlineLvl w:val="5"/>
    </w:pPr>
    <w:rPr>
      <w:rFonts w:ascii="宋体" w:hAnsi="宋体" w:eastAsia="宋体"/>
      <w:sz w:val="24"/>
      <w:szCs w:val="24"/>
      <w:u w:val="single"/>
    </w:rPr>
  </w:style>
  <w:style w:type="paragraph" w:styleId="7">
    <w:name w:val="heading 6"/>
    <w:basedOn w:val="1"/>
    <w:next w:val="1"/>
    <w:qFormat/>
    <w:uiPriority w:val="1"/>
    <w:pPr>
      <w:spacing w:before="34"/>
      <w:ind w:left="148"/>
      <w:outlineLvl w:val="6"/>
    </w:pPr>
    <w:rPr>
      <w:rFonts w:ascii="宋体" w:hAnsi="宋体" w:eastAsia="宋体"/>
      <w:b/>
      <w:bCs/>
      <w:sz w:val="21"/>
      <w:szCs w:val="21"/>
    </w:rPr>
  </w:style>
  <w:style w:type="character" w:default="1" w:styleId="20">
    <w:name w:val="Default Paragraph Font"/>
    <w:semiHidden/>
    <w:unhideWhenUsed/>
    <w:qFormat/>
    <w:uiPriority w:val="1"/>
  </w:style>
  <w:style w:type="table" w:default="1" w:styleId="19">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widowControl/>
      <w:ind w:firstLine="420"/>
      <w:jc w:val="left"/>
    </w:pPr>
    <w:rPr>
      <w:rFonts w:ascii="Times New Roman" w:hAnsi="Times New Roman" w:eastAsia="宋体" w:cs="Times New Roman"/>
      <w:kern w:val="0"/>
      <w:sz w:val="20"/>
      <w:lang w:val="en-US" w:eastAsia="zh-CN" w:bidi="ar-SA"/>
    </w:rPr>
  </w:style>
  <w:style w:type="paragraph" w:styleId="9">
    <w:name w:val="Body Text"/>
    <w:basedOn w:val="1"/>
    <w:qFormat/>
    <w:uiPriority w:val="1"/>
    <w:pPr>
      <w:ind w:left="108"/>
    </w:pPr>
    <w:rPr>
      <w:rFonts w:ascii="宋体" w:hAnsi="宋体" w:eastAsia="宋体"/>
      <w:sz w:val="21"/>
      <w:szCs w:val="21"/>
    </w:rPr>
  </w:style>
  <w:style w:type="paragraph" w:styleId="10">
    <w:name w:val="toc 3"/>
    <w:basedOn w:val="1"/>
    <w:next w:val="1"/>
    <w:qFormat/>
    <w:uiPriority w:val="1"/>
    <w:pPr>
      <w:spacing w:before="38"/>
      <w:ind w:left="948"/>
    </w:pPr>
    <w:rPr>
      <w:rFonts w:ascii="宋体" w:hAnsi="宋体" w:eastAsia="宋体"/>
      <w:sz w:val="21"/>
      <w:szCs w:val="21"/>
    </w:rPr>
  </w:style>
  <w:style w:type="paragraph" w:styleId="11">
    <w:name w:val="Plain Text"/>
    <w:qFormat/>
    <w:uiPriority w:val="0"/>
    <w:pPr>
      <w:widowControl w:val="0"/>
      <w:jc w:val="both"/>
    </w:pPr>
    <w:rPr>
      <w:rFonts w:ascii="宋体" w:hAnsi="Courier New" w:eastAsia="宋体" w:cs="Times New Roman"/>
      <w:kern w:val="2"/>
      <w:sz w:val="21"/>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1"/>
    <w:pPr>
      <w:spacing w:before="38"/>
      <w:ind w:left="113"/>
    </w:pPr>
    <w:rPr>
      <w:rFonts w:ascii="宋体" w:hAnsi="宋体" w:eastAsia="宋体"/>
      <w:sz w:val="21"/>
      <w:szCs w:val="21"/>
    </w:rPr>
  </w:style>
  <w:style w:type="paragraph" w:styleId="15">
    <w:name w:val="footnote text"/>
    <w:basedOn w:val="1"/>
    <w:qFormat/>
    <w:uiPriority w:val="0"/>
    <w:rPr>
      <w:sz w:val="18"/>
      <w:szCs w:val="18"/>
    </w:rPr>
  </w:style>
  <w:style w:type="paragraph" w:styleId="16">
    <w:name w:val="toc 2"/>
    <w:basedOn w:val="1"/>
    <w:next w:val="1"/>
    <w:qFormat/>
    <w:uiPriority w:val="1"/>
    <w:pPr>
      <w:spacing w:before="38"/>
      <w:ind w:left="528"/>
    </w:pPr>
    <w:rPr>
      <w:rFonts w:ascii="宋体" w:hAnsi="宋体" w:eastAsia="宋体"/>
      <w:sz w:val="21"/>
      <w:szCs w:val="21"/>
    </w:rPr>
  </w:style>
  <w:style w:type="paragraph" w:styleId="17">
    <w:name w:val="Body Text 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18">
    <w:name w:val="Normal (Web)"/>
    <w:qFormat/>
    <w:uiPriority w:val="0"/>
    <w:pPr>
      <w:widowControl/>
      <w:spacing w:before="100" w:beforeAutospacing="1" w:after="100" w:afterAutospacing="1"/>
      <w:jc w:val="left"/>
    </w:pPr>
    <w:rPr>
      <w:rFonts w:ascii="Times New Roman" w:hAnsi="Times New Roman" w:eastAsia="宋体" w:cs="Times New Roman"/>
      <w:kern w:val="0"/>
      <w:sz w:val="24"/>
      <w:szCs w:val="24"/>
      <w:lang w:val="en-US" w:eastAsia="zh-CN" w:bidi="ar-SA"/>
    </w:rPr>
  </w:style>
  <w:style w:type="character" w:styleId="21">
    <w:name w:val="Hyperlink"/>
    <w:basedOn w:val="20"/>
    <w:qFormat/>
    <w:uiPriority w:val="0"/>
    <w:rPr>
      <w:color w:val="0000FF"/>
      <w:u w:val="single"/>
    </w:rPr>
  </w:style>
  <w:style w:type="paragraph" w:customStyle="1" w:styleId="22">
    <w:name w:val="表头"/>
    <w:next w:val="17"/>
    <w:qFormat/>
    <w:uiPriority w:val="0"/>
    <w:pPr>
      <w:widowControl/>
      <w:numPr>
        <w:ilvl w:val="0"/>
        <w:numId w:val="0"/>
      </w:numPr>
      <w:tabs>
        <w:tab w:val="left" w:pos="360"/>
        <w:tab w:val="left" w:pos="590"/>
        <w:tab w:val="center" w:pos="6804"/>
        <w:tab w:val="right" w:pos="7371"/>
      </w:tabs>
      <w:adjustRightInd w:val="0"/>
      <w:snapToGrid w:val="0"/>
      <w:ind w:firstLine="420"/>
      <w:jc w:val="left"/>
    </w:pPr>
    <w:rPr>
      <w:rFonts w:ascii="Times New Roman" w:hAnsi="Times New Roman" w:eastAsia="宋体" w:cs="Times New Roman"/>
      <w:kern w:val="0"/>
      <w:sz w:val="20"/>
      <w:lang w:val="en-US" w:eastAsia="zh-CN" w:bidi="ar-SA"/>
    </w:r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style>
  <w:style w:type="paragraph" w:customStyle="1" w:styleId="25">
    <w:name w:val="Table Paragraph"/>
    <w:basedOn w:val="1"/>
    <w:qFormat/>
    <w:uiPriority w:val="1"/>
  </w:style>
  <w:style w:type="paragraph" w:customStyle="1" w:styleId="26">
    <w:name w:val="Normal_1"/>
    <w:qFormat/>
    <w:uiPriority w:val="0"/>
    <w:rPr>
      <w:rFonts w:ascii="Times New Roman" w:hAnsi="Times New Roman" w:eastAsia="Times New Roman" w:cs="Times New Roman"/>
      <w:sz w:val="24"/>
      <w:szCs w:val="24"/>
      <w:lang w:val="en-US" w:eastAsia="zh-CN" w:bidi="ar-SA"/>
    </w:rPr>
  </w:style>
  <w:style w:type="paragraph" w:customStyle="1" w:styleId="27">
    <w:name w:val="正文（首行缩进两字）m"/>
    <w:qFormat/>
    <w:uiPriority w:val="0"/>
    <w:pPr>
      <w:widowControl/>
      <w:tabs>
        <w:tab w:val="left" w:pos="590"/>
        <w:tab w:val="center" w:pos="6804"/>
        <w:tab w:val="right" w:pos="7371"/>
      </w:tabs>
      <w:ind w:firstLine="420"/>
      <w:jc w:val="left"/>
    </w:pPr>
    <w:rPr>
      <w:rFonts w:ascii="Times New Roman" w:hAnsi="Times New Roman" w:eastAsia="宋体" w:cs="Times New Roman"/>
      <w:kern w:val="0"/>
      <w:sz w:val="20"/>
      <w:lang w:val="en-US" w:eastAsia="zh-CN" w:bidi="ar-SA"/>
    </w:rPr>
  </w:style>
  <w:style w:type="paragraph" w:customStyle="1" w:styleId="28">
    <w:name w:val="CM95"/>
    <w:next w:val="29"/>
    <w:qFormat/>
    <w:uiPriority w:val="0"/>
    <w:pPr>
      <w:widowControl w:val="0"/>
      <w:autoSpaceDE w:val="0"/>
      <w:autoSpaceDN w:val="0"/>
      <w:adjustRightInd w:val="0"/>
      <w:spacing w:after="115"/>
    </w:pPr>
    <w:rPr>
      <w:rFonts w:ascii="宋体" w:hAnsi="Times New Roman" w:eastAsia="宋体" w:cs="Times New Roman"/>
      <w:color w:val="auto"/>
      <w:sz w:val="24"/>
      <w:szCs w:val="24"/>
      <w:lang w:val="en-US" w:eastAsia="zh-CN" w:bidi="ar-SA"/>
    </w:rPr>
  </w:style>
  <w:style w:type="paragraph" w:customStyle="1" w:styleId="29">
    <w:name w:val="Default"/>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137</Pages>
  <Words>13531</Words>
  <Characters>14560</Characters>
  <TotalTime>0</TotalTime>
  <ScaleCrop>false</ScaleCrop>
  <LinksUpToDate>false</LinksUpToDate>
  <CharactersWithSpaces>16600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2025-03-10T08:50:00Z</dcterms:created>
  <dc:creator>1</dc:creator>
  <cp:lastModifiedBy>kylin</cp:lastModifiedBy>
  <cp:lastPrinted>2025-07-03T17:36:00Z</cp:lastPrinted>
  <dcterms:modified xsi:type="dcterms:W3CDTF">2025-12-05T14:43:27Z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2020-04-01T00:00:00Z</vt:filetime>
  </property>
  <property fmtid="{D5CDD505-2E9C-101B-9397-08002B2CF9AE}" pid="3" name="Creator">
    <vt:lpwstr>WPS 文字</vt:lpwstr>
  </property>
  <property fmtid="{D5CDD505-2E9C-101B-9397-08002B2CF9AE}" pid="4" name="LastSaved">
    <vt:filetime>2025-03-05T00:00:00Z</vt:filetime>
  </property>
  <property fmtid="{D5CDD505-2E9C-101B-9397-08002B2CF9AE}" pid="5" name="KSOProductBuildVer">
    <vt:lpwstr>2052-11.8.2.9980</vt:lpwstr>
  </property>
  <property fmtid="{D5CDD505-2E9C-101B-9397-08002B2CF9AE}" pid="6" name="ICV">
    <vt:lpwstr>7F99F9420B1246849D3BB4C6EA102E1F</vt:lpwstr>
  </property>
  <property fmtid="{D5CDD505-2E9C-101B-9397-08002B2CF9AE}" pid="7" name="KSOTemplateDocerSaveRecord">
    <vt:lpwstr>eyJoZGlkIjoiMWQxNWViZjQ0ODZiOTAyZjc0M2RiMmU3ZTMxMWUwNWEiLCJ1c2VySWQiOiIxMjI1Njg5ODM2In0=</vt:lpwstr>
  </property>
</Properties>
</file>